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262D0" w14:textId="0824853D" w:rsidR="00B277E5" w:rsidRPr="00B277E5" w:rsidRDefault="009301B4" w:rsidP="00B277E5">
      <w:pPr>
        <w:pStyle w:val="Title"/>
        <w:rPr>
          <w:rFonts w:asciiTheme="majorBidi" w:hAnsiTheme="majorBidi" w:cstheme="majorBidi"/>
          <w:sz w:val="24"/>
          <w:szCs w:val="24"/>
        </w:rPr>
      </w:pPr>
      <w:r w:rsidRPr="00462C0B">
        <w:t xml:space="preserve">An </w:t>
      </w:r>
      <w:r w:rsidR="00B44398" w:rsidRPr="00462C0B">
        <w:t>analysis</w:t>
      </w:r>
      <w:r w:rsidRPr="00462C0B">
        <w:t xml:space="preserve"> </w:t>
      </w:r>
      <w:r w:rsidR="00B44398" w:rsidRPr="00462C0B">
        <w:t>of</w:t>
      </w:r>
      <w:r w:rsidRPr="00462C0B">
        <w:t xml:space="preserve"> the empirical </w:t>
      </w:r>
      <w:r w:rsidR="00B44398" w:rsidRPr="00462C0B">
        <w:t xml:space="preserve">evidence </w:t>
      </w:r>
      <w:r w:rsidRPr="00462C0B">
        <w:t>o</w:t>
      </w:r>
      <w:r w:rsidR="00B44398" w:rsidRPr="00462C0B">
        <w:t>n</w:t>
      </w:r>
      <w:r w:rsidRPr="00462C0B">
        <w:t xml:space="preserve"> </w:t>
      </w:r>
      <w:r w:rsidR="003D3B96" w:rsidRPr="00462C0B">
        <w:t xml:space="preserve">markets for biodiversity offsets </w:t>
      </w:r>
    </w:p>
    <w:p w14:paraId="7C182FFA" w14:textId="056E71A5" w:rsidR="00B277E5" w:rsidRPr="00B277E5" w:rsidRDefault="00B277E5" w:rsidP="00B277E5">
      <w:pPr>
        <w:rPr>
          <w:rFonts w:asciiTheme="majorBidi" w:hAnsiTheme="majorBidi" w:cstheme="majorBidi"/>
          <w:sz w:val="24"/>
          <w:szCs w:val="24"/>
        </w:rPr>
      </w:pPr>
      <w:r w:rsidRPr="00B277E5">
        <w:rPr>
          <w:rFonts w:asciiTheme="majorBidi" w:hAnsiTheme="majorBidi" w:cstheme="majorBidi"/>
          <w:sz w:val="24"/>
          <w:szCs w:val="24"/>
        </w:rPr>
        <w:t>Authors: Katherine Simpson, Nick Hanley and Joseph Bull</w:t>
      </w:r>
    </w:p>
    <w:p w14:paraId="546B6326" w14:textId="607B6B47" w:rsidR="00285BEE" w:rsidRPr="00462C0B" w:rsidRDefault="00B44398" w:rsidP="00217B29">
      <w:pPr>
        <w:pStyle w:val="Heading1"/>
      </w:pPr>
      <w:r w:rsidRPr="00462C0B">
        <w:t>Rationale of the review</w:t>
      </w:r>
    </w:p>
    <w:p w14:paraId="67AE05EA" w14:textId="1E860161" w:rsidR="00B64A6D" w:rsidRPr="00462C0B" w:rsidRDefault="00032409" w:rsidP="00AE424A">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Biodiversity offsetting </w:t>
      </w:r>
      <w:r w:rsidR="00AE424A" w:rsidRPr="00462C0B">
        <w:rPr>
          <w:rFonts w:ascii="Times New Roman" w:hAnsi="Times New Roman" w:cs="Times New Roman"/>
          <w:sz w:val="24"/>
          <w:szCs w:val="24"/>
        </w:rPr>
        <w:t>aims minimise the environmental impacts of a development projects for new developments such as housing and infrastructure, as well as impacts from extractive sector activities.</w:t>
      </w:r>
      <w:r w:rsidRPr="00462C0B">
        <w:rPr>
          <w:rFonts w:ascii="Times New Roman" w:hAnsi="Times New Roman" w:cs="Times New Roman"/>
          <w:sz w:val="24"/>
          <w:szCs w:val="24"/>
        </w:rPr>
        <w:t xml:space="preserve"> </w:t>
      </w:r>
      <w:r w:rsidR="001A18E2" w:rsidRPr="00462C0B">
        <w:rPr>
          <w:rFonts w:ascii="Times New Roman" w:hAnsi="Times New Roman" w:cs="Times New Roman"/>
          <w:sz w:val="24"/>
          <w:szCs w:val="24"/>
        </w:rPr>
        <w:t>Offsetting is considered the final step in the mitigation hierarchy once all other steps (avoid, minimize, restore) have been undertaken</w:t>
      </w:r>
      <w:r w:rsidR="002A46BE" w:rsidRPr="00462C0B">
        <w:rPr>
          <w:rFonts w:ascii="Times New Roman" w:hAnsi="Times New Roman" w:cs="Times New Roman"/>
          <w:sz w:val="24"/>
          <w:szCs w:val="24"/>
        </w:rPr>
        <w:t xml:space="preserve"> by the proposed new development</w:t>
      </w:r>
      <w:r w:rsidR="00F9780B" w:rsidRPr="00462C0B">
        <w:rPr>
          <w:rFonts w:ascii="Times New Roman" w:hAnsi="Times New Roman" w:cs="Times New Roman"/>
          <w:sz w:val="24"/>
          <w:szCs w:val="24"/>
        </w:rPr>
        <w:t>. Offsets should</w:t>
      </w:r>
      <w:r w:rsidR="002A46BE" w:rsidRPr="00462C0B">
        <w:rPr>
          <w:rFonts w:ascii="Times New Roman" w:hAnsi="Times New Roman" w:cs="Times New Roman"/>
          <w:sz w:val="24"/>
          <w:szCs w:val="24"/>
        </w:rPr>
        <w:t xml:space="preserve"> </w:t>
      </w:r>
      <w:r w:rsidR="00D102E2" w:rsidRPr="00462C0B">
        <w:rPr>
          <w:rFonts w:ascii="Times New Roman" w:hAnsi="Times New Roman" w:cs="Times New Roman"/>
          <w:sz w:val="24"/>
          <w:szCs w:val="24"/>
        </w:rPr>
        <w:t xml:space="preserve">provide measurable conservation gains to compensate for residual impacts on biodiversity due to new development activities </w:t>
      </w:r>
      <w:r w:rsidR="001A18E2" w:rsidRPr="00462C0B">
        <w:rPr>
          <w:rFonts w:ascii="Times New Roman" w:hAnsi="Times New Roman" w:cs="Times New Roman"/>
          <w:sz w:val="24"/>
          <w:szCs w:val="24"/>
        </w:rPr>
        <w:t>(</w:t>
      </w:r>
      <w:r w:rsidR="00D102E2" w:rsidRPr="00462C0B">
        <w:rPr>
          <w:rFonts w:ascii="Times New Roman" w:hAnsi="Times New Roman" w:cs="Times New Roman"/>
          <w:sz w:val="24"/>
          <w:szCs w:val="24"/>
        </w:rPr>
        <w:t xml:space="preserve">BBOP 2009; </w:t>
      </w:r>
      <w:r w:rsidR="001A18E2" w:rsidRPr="00462C0B">
        <w:rPr>
          <w:rFonts w:ascii="Times New Roman" w:hAnsi="Times New Roman" w:cs="Times New Roman"/>
          <w:sz w:val="24"/>
          <w:szCs w:val="24"/>
        </w:rPr>
        <w:t xml:space="preserve">Alridge </w:t>
      </w:r>
      <w:r w:rsidR="001A18E2" w:rsidRPr="00462C0B">
        <w:rPr>
          <w:rFonts w:ascii="Times New Roman" w:hAnsi="Times New Roman" w:cs="Times New Roman"/>
          <w:i/>
          <w:sz w:val="24"/>
          <w:szCs w:val="24"/>
        </w:rPr>
        <w:t>et al.</w:t>
      </w:r>
      <w:r w:rsidR="001A18E2" w:rsidRPr="00462C0B">
        <w:rPr>
          <w:rFonts w:ascii="Times New Roman" w:hAnsi="Times New Roman" w:cs="Times New Roman"/>
          <w:sz w:val="24"/>
          <w:szCs w:val="24"/>
        </w:rPr>
        <w:t xml:space="preserve"> 201</w:t>
      </w:r>
      <w:r w:rsidR="003B4BE6" w:rsidRPr="00462C0B">
        <w:rPr>
          <w:rFonts w:ascii="Times New Roman" w:hAnsi="Times New Roman" w:cs="Times New Roman"/>
          <w:sz w:val="24"/>
          <w:szCs w:val="24"/>
        </w:rPr>
        <w:t>8</w:t>
      </w:r>
      <w:r w:rsidR="001A18E2" w:rsidRPr="00462C0B">
        <w:rPr>
          <w:rFonts w:ascii="Times New Roman" w:hAnsi="Times New Roman" w:cs="Times New Roman"/>
          <w:sz w:val="24"/>
          <w:szCs w:val="24"/>
        </w:rPr>
        <w:t xml:space="preserve">). </w:t>
      </w:r>
      <w:proofErr w:type="gramStart"/>
      <w:r w:rsidR="00A163FF" w:rsidRPr="00462C0B">
        <w:rPr>
          <w:rFonts w:ascii="Times New Roman" w:hAnsi="Times New Roman" w:cs="Times New Roman"/>
          <w:sz w:val="24"/>
          <w:szCs w:val="24"/>
        </w:rPr>
        <w:t>The majority of</w:t>
      </w:r>
      <w:proofErr w:type="gramEnd"/>
      <w:r w:rsidR="00A163FF" w:rsidRPr="00462C0B">
        <w:rPr>
          <w:rFonts w:ascii="Times New Roman" w:hAnsi="Times New Roman" w:cs="Times New Roman"/>
          <w:sz w:val="24"/>
          <w:szCs w:val="24"/>
        </w:rPr>
        <w:t xml:space="preserve"> offset policies historically have </w:t>
      </w:r>
      <w:r w:rsidR="0088537C" w:rsidRPr="00462C0B">
        <w:rPr>
          <w:rFonts w:ascii="Times New Roman" w:hAnsi="Times New Roman" w:cs="Times New Roman"/>
          <w:sz w:val="24"/>
          <w:szCs w:val="24"/>
        </w:rPr>
        <w:t xml:space="preserve">been designed to contribute towards a broader objective of </w:t>
      </w:r>
      <w:r w:rsidR="00A163FF" w:rsidRPr="00462C0B">
        <w:rPr>
          <w:rFonts w:ascii="Times New Roman" w:hAnsi="Times New Roman" w:cs="Times New Roman"/>
          <w:sz w:val="24"/>
          <w:szCs w:val="24"/>
        </w:rPr>
        <w:t>no net loss</w:t>
      </w:r>
      <w:r w:rsidR="00724F5E" w:rsidRPr="00462C0B">
        <w:rPr>
          <w:rFonts w:ascii="Times New Roman" w:hAnsi="Times New Roman" w:cs="Times New Roman"/>
          <w:sz w:val="24"/>
          <w:szCs w:val="24"/>
        </w:rPr>
        <w:t xml:space="preserve"> </w:t>
      </w:r>
      <w:r w:rsidR="00A163FF" w:rsidRPr="00462C0B">
        <w:rPr>
          <w:rFonts w:ascii="Times New Roman" w:hAnsi="Times New Roman" w:cs="Times New Roman"/>
          <w:sz w:val="24"/>
          <w:szCs w:val="24"/>
        </w:rPr>
        <w:t xml:space="preserve">of </w:t>
      </w:r>
      <w:r w:rsidR="007A6A38" w:rsidRPr="00462C0B">
        <w:rPr>
          <w:rFonts w:ascii="Times New Roman" w:hAnsi="Times New Roman" w:cs="Times New Roman"/>
          <w:sz w:val="24"/>
          <w:szCs w:val="24"/>
        </w:rPr>
        <w:t>biodiversity,</w:t>
      </w:r>
      <w:r w:rsidR="00A163FF" w:rsidRPr="00462C0B">
        <w:rPr>
          <w:rFonts w:ascii="Times New Roman" w:hAnsi="Times New Roman" w:cs="Times New Roman"/>
          <w:sz w:val="24"/>
          <w:szCs w:val="24"/>
        </w:rPr>
        <w:t xml:space="preserve"> where losses due to development are matched </w:t>
      </w:r>
      <w:r w:rsidR="00D102E2" w:rsidRPr="00462C0B">
        <w:rPr>
          <w:rFonts w:ascii="Times New Roman" w:hAnsi="Times New Roman" w:cs="Times New Roman"/>
          <w:sz w:val="24"/>
          <w:szCs w:val="24"/>
        </w:rPr>
        <w:t>by</w:t>
      </w:r>
      <w:r w:rsidR="00A163FF" w:rsidRPr="00462C0B">
        <w:rPr>
          <w:rFonts w:ascii="Times New Roman" w:hAnsi="Times New Roman" w:cs="Times New Roman"/>
          <w:sz w:val="24"/>
          <w:szCs w:val="24"/>
        </w:rPr>
        <w:t xml:space="preserve"> gains in biodiversity elsewhere (zu Ermgassen </w:t>
      </w:r>
      <w:r w:rsidR="00197317" w:rsidRPr="00462C0B">
        <w:rPr>
          <w:rFonts w:ascii="Times New Roman" w:hAnsi="Times New Roman" w:cs="Times New Roman"/>
          <w:i/>
          <w:sz w:val="24"/>
          <w:szCs w:val="24"/>
        </w:rPr>
        <w:t>et al.</w:t>
      </w:r>
      <w:r w:rsidR="00197317" w:rsidRPr="00462C0B">
        <w:rPr>
          <w:rFonts w:ascii="Times New Roman" w:hAnsi="Times New Roman" w:cs="Times New Roman"/>
          <w:sz w:val="24"/>
          <w:szCs w:val="24"/>
        </w:rPr>
        <w:t xml:space="preserve"> </w:t>
      </w:r>
      <w:r w:rsidR="00A163FF" w:rsidRPr="00462C0B">
        <w:rPr>
          <w:rFonts w:ascii="Times New Roman" w:hAnsi="Times New Roman" w:cs="Times New Roman"/>
          <w:sz w:val="24"/>
          <w:szCs w:val="24"/>
        </w:rPr>
        <w:t xml:space="preserve">2019). More recently, the focus in academia and policy has been shifting towards Net Positive Impact and </w:t>
      </w:r>
      <w:r w:rsidR="00CD23E3" w:rsidRPr="00462C0B">
        <w:rPr>
          <w:rFonts w:ascii="Times New Roman" w:hAnsi="Times New Roman" w:cs="Times New Roman"/>
          <w:sz w:val="24"/>
          <w:szCs w:val="24"/>
        </w:rPr>
        <w:t>biodiversity net gain</w:t>
      </w:r>
      <w:r w:rsidR="00A163FF" w:rsidRPr="00462C0B">
        <w:rPr>
          <w:rFonts w:ascii="Times New Roman" w:hAnsi="Times New Roman" w:cs="Times New Roman"/>
          <w:sz w:val="24"/>
          <w:szCs w:val="24"/>
        </w:rPr>
        <w:t xml:space="preserve">. </w:t>
      </w:r>
      <w:r w:rsidR="00CD23E3" w:rsidRPr="00462C0B">
        <w:rPr>
          <w:rFonts w:ascii="Times New Roman" w:hAnsi="Times New Roman" w:cs="Times New Roman"/>
          <w:sz w:val="24"/>
          <w:szCs w:val="24"/>
        </w:rPr>
        <w:t>Net gain</w:t>
      </w:r>
      <w:r w:rsidR="00A163FF" w:rsidRPr="00462C0B">
        <w:rPr>
          <w:rFonts w:ascii="Times New Roman" w:hAnsi="Times New Roman" w:cs="Times New Roman"/>
          <w:sz w:val="24"/>
          <w:szCs w:val="24"/>
        </w:rPr>
        <w:t xml:space="preserve"> requires actions that ensure recreated or restored habitats exceed those lost in terms of potential biodiversity outcomes (that is, gains outweighing losses in some agreed metric) (CIEEM, CIRIA and IEMA, 2016; Bull </w:t>
      </w:r>
      <w:r w:rsidR="00197317" w:rsidRPr="00462C0B">
        <w:rPr>
          <w:rFonts w:ascii="Times New Roman" w:hAnsi="Times New Roman" w:cs="Times New Roman"/>
          <w:sz w:val="24"/>
          <w:szCs w:val="24"/>
        </w:rPr>
        <w:t>and</w:t>
      </w:r>
      <w:r w:rsidR="00A163FF" w:rsidRPr="00462C0B">
        <w:rPr>
          <w:rFonts w:ascii="Times New Roman" w:hAnsi="Times New Roman" w:cs="Times New Roman"/>
          <w:sz w:val="24"/>
          <w:szCs w:val="24"/>
        </w:rPr>
        <w:t xml:space="preserve"> Brownlie 2017; Moilanen </w:t>
      </w:r>
      <w:r w:rsidR="00197317" w:rsidRPr="00462C0B">
        <w:rPr>
          <w:rFonts w:ascii="Times New Roman" w:hAnsi="Times New Roman" w:cs="Times New Roman"/>
          <w:sz w:val="24"/>
          <w:szCs w:val="24"/>
        </w:rPr>
        <w:t>and</w:t>
      </w:r>
      <w:r w:rsidR="00A163FF" w:rsidRPr="00462C0B">
        <w:rPr>
          <w:rFonts w:ascii="Times New Roman" w:hAnsi="Times New Roman" w:cs="Times New Roman"/>
          <w:sz w:val="24"/>
          <w:szCs w:val="24"/>
        </w:rPr>
        <w:t xml:space="preserve"> Kotiaho 202</w:t>
      </w:r>
      <w:r w:rsidR="00ED735A" w:rsidRPr="00462C0B">
        <w:rPr>
          <w:rFonts w:ascii="Times New Roman" w:hAnsi="Times New Roman" w:cs="Times New Roman"/>
          <w:sz w:val="24"/>
          <w:szCs w:val="24"/>
        </w:rPr>
        <w:t>1</w:t>
      </w:r>
      <w:r w:rsidR="00A163FF" w:rsidRPr="00462C0B">
        <w:rPr>
          <w:rFonts w:ascii="Times New Roman" w:hAnsi="Times New Roman" w:cs="Times New Roman"/>
          <w:sz w:val="24"/>
          <w:szCs w:val="24"/>
        </w:rPr>
        <w:t>)</w:t>
      </w:r>
      <w:r w:rsidR="00031B62" w:rsidRPr="00462C0B">
        <w:rPr>
          <w:rFonts w:ascii="Times New Roman" w:hAnsi="Times New Roman" w:cs="Times New Roman"/>
          <w:sz w:val="24"/>
          <w:szCs w:val="24"/>
        </w:rPr>
        <w:t>.</w:t>
      </w:r>
    </w:p>
    <w:p w14:paraId="3D2CD36E" w14:textId="3459C175" w:rsidR="00CE1EF0" w:rsidRPr="00462C0B" w:rsidRDefault="00A53083" w:rsidP="00AA3A9F">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There have been numerous reviews of biodiversity offsetting, predominantly from the ecological perspective concerning the effectiveness of restoration, the functionality of restored systems compared to natural systems, how to assess ecological equivalency, and </w:t>
      </w:r>
      <w:r w:rsidR="00C93C79" w:rsidRPr="00462C0B">
        <w:rPr>
          <w:rFonts w:ascii="Times New Roman" w:hAnsi="Times New Roman" w:cs="Times New Roman"/>
          <w:sz w:val="24"/>
          <w:szCs w:val="24"/>
        </w:rPr>
        <w:t xml:space="preserve">the importance of </w:t>
      </w:r>
      <w:r w:rsidRPr="00462C0B">
        <w:rPr>
          <w:rFonts w:ascii="Times New Roman" w:hAnsi="Times New Roman" w:cs="Times New Roman"/>
          <w:sz w:val="24"/>
          <w:szCs w:val="24"/>
        </w:rPr>
        <w:t xml:space="preserve">additionality (Bull </w:t>
      </w:r>
      <w:r w:rsidR="00197317" w:rsidRPr="00462C0B">
        <w:rPr>
          <w:rFonts w:ascii="Times New Roman" w:hAnsi="Times New Roman" w:cs="Times New Roman"/>
          <w:i/>
          <w:sz w:val="24"/>
          <w:szCs w:val="24"/>
        </w:rPr>
        <w:t>et al.</w:t>
      </w:r>
      <w:r w:rsidR="00197317" w:rsidRPr="00462C0B">
        <w:rPr>
          <w:rFonts w:ascii="Times New Roman" w:hAnsi="Times New Roman" w:cs="Times New Roman"/>
          <w:sz w:val="24"/>
          <w:szCs w:val="24"/>
        </w:rPr>
        <w:t xml:space="preserve"> </w:t>
      </w:r>
      <w:r w:rsidRPr="00462C0B">
        <w:rPr>
          <w:rFonts w:ascii="Times New Roman" w:hAnsi="Times New Roman" w:cs="Times New Roman"/>
          <w:sz w:val="24"/>
          <w:szCs w:val="24"/>
        </w:rPr>
        <w:t xml:space="preserve">2013;Bull </w:t>
      </w:r>
      <w:r w:rsidR="00187D6A" w:rsidRPr="00462C0B">
        <w:rPr>
          <w:rFonts w:ascii="Times New Roman" w:hAnsi="Times New Roman" w:cs="Times New Roman"/>
          <w:i/>
          <w:sz w:val="24"/>
          <w:szCs w:val="24"/>
        </w:rPr>
        <w:t>et al.</w:t>
      </w:r>
      <w:r w:rsidR="00187D6A" w:rsidRPr="00462C0B">
        <w:rPr>
          <w:rFonts w:ascii="Times New Roman" w:hAnsi="Times New Roman" w:cs="Times New Roman"/>
          <w:sz w:val="24"/>
          <w:szCs w:val="24"/>
        </w:rPr>
        <w:t xml:space="preserve"> </w:t>
      </w:r>
      <w:r w:rsidRPr="00462C0B">
        <w:rPr>
          <w:rFonts w:ascii="Times New Roman" w:hAnsi="Times New Roman" w:cs="Times New Roman"/>
          <w:sz w:val="24"/>
          <w:szCs w:val="24"/>
        </w:rPr>
        <w:t xml:space="preserve">2017; Maron </w:t>
      </w:r>
      <w:r w:rsidR="00187D6A" w:rsidRPr="00462C0B">
        <w:rPr>
          <w:rFonts w:ascii="Times New Roman" w:hAnsi="Times New Roman" w:cs="Times New Roman"/>
          <w:i/>
          <w:sz w:val="24"/>
          <w:szCs w:val="24"/>
        </w:rPr>
        <w:t>et al.</w:t>
      </w:r>
      <w:r w:rsidR="00187D6A" w:rsidRPr="00462C0B">
        <w:rPr>
          <w:rFonts w:ascii="Times New Roman" w:hAnsi="Times New Roman" w:cs="Times New Roman"/>
          <w:sz w:val="24"/>
          <w:szCs w:val="24"/>
        </w:rPr>
        <w:t xml:space="preserve"> </w:t>
      </w:r>
      <w:r w:rsidRPr="00462C0B">
        <w:rPr>
          <w:rFonts w:ascii="Times New Roman" w:hAnsi="Times New Roman" w:cs="Times New Roman"/>
          <w:sz w:val="24"/>
          <w:szCs w:val="24"/>
        </w:rPr>
        <w:t xml:space="preserve">2012; Quétier </w:t>
      </w:r>
      <w:r w:rsidR="001310B6" w:rsidRPr="00462C0B">
        <w:rPr>
          <w:rFonts w:ascii="Times New Roman" w:hAnsi="Times New Roman" w:cs="Times New Roman"/>
          <w:i/>
          <w:sz w:val="24"/>
          <w:szCs w:val="24"/>
        </w:rPr>
        <w:t>et al</w:t>
      </w:r>
      <w:r w:rsidRPr="00462C0B">
        <w:rPr>
          <w:rFonts w:ascii="Times New Roman" w:hAnsi="Times New Roman" w:cs="Times New Roman"/>
          <w:i/>
          <w:sz w:val="24"/>
          <w:szCs w:val="24"/>
        </w:rPr>
        <w:t>.</w:t>
      </w:r>
      <w:r w:rsidRPr="00462C0B">
        <w:rPr>
          <w:rFonts w:ascii="Times New Roman" w:hAnsi="Times New Roman" w:cs="Times New Roman"/>
          <w:sz w:val="24"/>
          <w:szCs w:val="24"/>
        </w:rPr>
        <w:t xml:space="preserve"> 2014; Maron </w:t>
      </w:r>
      <w:r w:rsidR="001310B6" w:rsidRPr="00462C0B">
        <w:rPr>
          <w:rFonts w:ascii="Times New Roman" w:hAnsi="Times New Roman" w:cs="Times New Roman"/>
          <w:i/>
          <w:sz w:val="24"/>
          <w:szCs w:val="24"/>
        </w:rPr>
        <w:t>et al</w:t>
      </w:r>
      <w:r w:rsidRPr="00462C0B">
        <w:rPr>
          <w:rFonts w:ascii="Times New Roman" w:hAnsi="Times New Roman" w:cs="Times New Roman"/>
          <w:i/>
          <w:sz w:val="24"/>
          <w:szCs w:val="24"/>
        </w:rPr>
        <w:t>.</w:t>
      </w:r>
      <w:r w:rsidRPr="00462C0B">
        <w:rPr>
          <w:rFonts w:ascii="Times New Roman" w:hAnsi="Times New Roman" w:cs="Times New Roman"/>
          <w:sz w:val="24"/>
          <w:szCs w:val="24"/>
        </w:rPr>
        <w:t xml:space="preserve"> 2015; Maron </w:t>
      </w:r>
      <w:r w:rsidR="001310B6" w:rsidRPr="00462C0B">
        <w:rPr>
          <w:rFonts w:ascii="Times New Roman" w:hAnsi="Times New Roman" w:cs="Times New Roman"/>
          <w:i/>
          <w:sz w:val="24"/>
          <w:szCs w:val="24"/>
        </w:rPr>
        <w:t>et al</w:t>
      </w:r>
      <w:r w:rsidRPr="00462C0B">
        <w:rPr>
          <w:rFonts w:ascii="Times New Roman" w:hAnsi="Times New Roman" w:cs="Times New Roman"/>
          <w:i/>
          <w:sz w:val="24"/>
          <w:szCs w:val="24"/>
        </w:rPr>
        <w:t>.</w:t>
      </w:r>
      <w:r w:rsidRPr="00462C0B">
        <w:rPr>
          <w:rFonts w:ascii="Times New Roman" w:hAnsi="Times New Roman" w:cs="Times New Roman"/>
          <w:sz w:val="24"/>
          <w:szCs w:val="24"/>
        </w:rPr>
        <w:t xml:space="preserve"> 2016</w:t>
      </w:r>
      <w:r w:rsidR="00CE30AE" w:rsidRPr="00462C0B">
        <w:rPr>
          <w:rFonts w:ascii="Times New Roman" w:hAnsi="Times New Roman" w:cs="Times New Roman"/>
          <w:sz w:val="24"/>
          <w:szCs w:val="24"/>
        </w:rPr>
        <w:t xml:space="preserve">; </w:t>
      </w:r>
      <w:r w:rsidR="00AA3A9F" w:rsidRPr="00462C0B">
        <w:rPr>
          <w:rFonts w:ascii="Times New Roman" w:hAnsi="Times New Roman" w:cs="Times New Roman"/>
          <w:sz w:val="24"/>
          <w:szCs w:val="24"/>
        </w:rPr>
        <w:t xml:space="preserve">zu Ermgassen </w:t>
      </w:r>
      <w:r w:rsidR="00AA3A9F" w:rsidRPr="00462C0B">
        <w:rPr>
          <w:rFonts w:ascii="Times New Roman" w:hAnsi="Times New Roman" w:cs="Times New Roman"/>
          <w:i/>
          <w:iCs/>
          <w:sz w:val="24"/>
          <w:szCs w:val="24"/>
        </w:rPr>
        <w:t xml:space="preserve">et al. </w:t>
      </w:r>
      <w:r w:rsidR="00AA3A9F" w:rsidRPr="00462C0B">
        <w:rPr>
          <w:rFonts w:ascii="Times New Roman" w:hAnsi="Times New Roman" w:cs="Times New Roman"/>
          <w:sz w:val="24"/>
          <w:szCs w:val="24"/>
        </w:rPr>
        <w:t>2019</w:t>
      </w:r>
      <w:r w:rsidRPr="00462C0B">
        <w:rPr>
          <w:rFonts w:ascii="Times New Roman" w:hAnsi="Times New Roman" w:cs="Times New Roman"/>
          <w:sz w:val="24"/>
          <w:szCs w:val="24"/>
        </w:rPr>
        <w:t xml:space="preserve">). Perspectives have also been offered from environmental law and policy (Salzman </w:t>
      </w:r>
      <w:r w:rsidR="00187D6A" w:rsidRPr="00462C0B">
        <w:rPr>
          <w:rFonts w:ascii="Times New Roman" w:hAnsi="Times New Roman" w:cs="Times New Roman"/>
          <w:sz w:val="24"/>
          <w:szCs w:val="24"/>
        </w:rPr>
        <w:t>and</w:t>
      </w:r>
      <w:r w:rsidRPr="00462C0B">
        <w:rPr>
          <w:rFonts w:ascii="Times New Roman" w:hAnsi="Times New Roman" w:cs="Times New Roman"/>
          <w:sz w:val="24"/>
          <w:szCs w:val="24"/>
        </w:rPr>
        <w:t xml:space="preserve"> Ruhl 2000; Salzman </w:t>
      </w:r>
      <w:r w:rsidR="00187D6A" w:rsidRPr="00462C0B">
        <w:rPr>
          <w:rFonts w:ascii="Times New Roman" w:hAnsi="Times New Roman" w:cs="Times New Roman"/>
          <w:sz w:val="24"/>
          <w:szCs w:val="24"/>
        </w:rPr>
        <w:t>and</w:t>
      </w:r>
      <w:r w:rsidRPr="00462C0B">
        <w:rPr>
          <w:rFonts w:ascii="Times New Roman" w:hAnsi="Times New Roman" w:cs="Times New Roman"/>
          <w:sz w:val="24"/>
          <w:szCs w:val="24"/>
        </w:rPr>
        <w:t xml:space="preserve"> Ruhl 2006). However, there have been few contributions from the economics literature on the subject</w:t>
      </w:r>
      <w:r w:rsidR="00CE1EF0" w:rsidRPr="00462C0B">
        <w:rPr>
          <w:rFonts w:ascii="Times New Roman" w:hAnsi="Times New Roman" w:cs="Times New Roman"/>
          <w:sz w:val="24"/>
          <w:szCs w:val="24"/>
        </w:rPr>
        <w:t xml:space="preserve"> (Needham </w:t>
      </w:r>
      <w:r w:rsidR="001310B6" w:rsidRPr="00462C0B">
        <w:rPr>
          <w:rFonts w:ascii="Times New Roman" w:hAnsi="Times New Roman" w:cs="Times New Roman"/>
          <w:i/>
          <w:sz w:val="24"/>
          <w:szCs w:val="24"/>
        </w:rPr>
        <w:t>et al</w:t>
      </w:r>
      <w:r w:rsidR="00EA0CEB" w:rsidRPr="00462C0B">
        <w:rPr>
          <w:rFonts w:ascii="Times New Roman" w:hAnsi="Times New Roman" w:cs="Times New Roman"/>
          <w:i/>
          <w:sz w:val="24"/>
          <w:szCs w:val="24"/>
        </w:rPr>
        <w:t>.</w:t>
      </w:r>
      <w:r w:rsidR="00EA0CEB" w:rsidRPr="00462C0B">
        <w:rPr>
          <w:rFonts w:ascii="Times New Roman" w:hAnsi="Times New Roman" w:cs="Times New Roman"/>
          <w:sz w:val="24"/>
          <w:szCs w:val="24"/>
        </w:rPr>
        <w:t xml:space="preserve"> 2019). </w:t>
      </w:r>
    </w:p>
    <w:p w14:paraId="2FEBE3BC" w14:textId="415F2394" w:rsidR="00D531D3" w:rsidRPr="00462C0B" w:rsidRDefault="005842D6" w:rsidP="000B4726">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In this </w:t>
      </w:r>
      <w:r w:rsidR="00914016" w:rsidRPr="00462C0B">
        <w:rPr>
          <w:rFonts w:ascii="Times New Roman" w:hAnsi="Times New Roman" w:cs="Times New Roman"/>
          <w:sz w:val="24"/>
          <w:szCs w:val="24"/>
        </w:rPr>
        <w:t>review</w:t>
      </w:r>
      <w:r w:rsidRPr="00462C0B">
        <w:rPr>
          <w:rFonts w:ascii="Times New Roman" w:hAnsi="Times New Roman" w:cs="Times New Roman"/>
          <w:sz w:val="24"/>
          <w:szCs w:val="24"/>
        </w:rPr>
        <w:t>, we focus on</w:t>
      </w:r>
      <w:r w:rsidR="006311CA" w:rsidRPr="00462C0B">
        <w:rPr>
          <w:rFonts w:ascii="Times New Roman" w:hAnsi="Times New Roman" w:cs="Times New Roman"/>
          <w:sz w:val="24"/>
          <w:szCs w:val="24"/>
        </w:rPr>
        <w:t xml:space="preserve"> the creation of </w:t>
      </w:r>
      <w:r w:rsidRPr="00462C0B">
        <w:rPr>
          <w:rFonts w:ascii="Times New Roman" w:hAnsi="Times New Roman" w:cs="Times New Roman"/>
          <w:sz w:val="24"/>
          <w:szCs w:val="24"/>
        </w:rPr>
        <w:t>markets for biodiversity offset</w:t>
      </w:r>
      <w:r w:rsidR="00D342D4" w:rsidRPr="00462C0B">
        <w:rPr>
          <w:rFonts w:ascii="Times New Roman" w:hAnsi="Times New Roman" w:cs="Times New Roman"/>
          <w:sz w:val="24"/>
          <w:szCs w:val="24"/>
        </w:rPr>
        <w:t xml:space="preserve"> </w:t>
      </w:r>
      <w:r w:rsidR="00D342D4" w:rsidRPr="00462C0B">
        <w:rPr>
          <w:rFonts w:ascii="Times New Roman" w:hAnsi="Times New Roman" w:cs="Times New Roman"/>
          <w:sz w:val="24"/>
          <w:szCs w:val="24"/>
          <w:u w:val="single"/>
        </w:rPr>
        <w:t>credits</w:t>
      </w:r>
      <w:r w:rsidR="00234947" w:rsidRPr="00234947">
        <w:rPr>
          <w:rFonts w:ascii="Times New Roman" w:hAnsi="Times New Roman" w:cs="Times New Roman"/>
          <w:sz w:val="24"/>
          <w:szCs w:val="24"/>
        </w:rPr>
        <w:t xml:space="preserve">. Biodiversity </w:t>
      </w:r>
      <w:r w:rsidR="00234947">
        <w:rPr>
          <w:rFonts w:ascii="Times New Roman" w:hAnsi="Times New Roman" w:cs="Times New Roman"/>
          <w:sz w:val="24"/>
          <w:szCs w:val="24"/>
        </w:rPr>
        <w:t xml:space="preserve">offsets can be carried out by the developer </w:t>
      </w:r>
      <w:r w:rsidR="00234947" w:rsidRPr="00234947">
        <w:rPr>
          <w:rFonts w:ascii="Times New Roman" w:hAnsi="Times New Roman" w:cs="Times New Roman"/>
          <w:sz w:val="24"/>
          <w:szCs w:val="24"/>
        </w:rPr>
        <w:t>(or</w:t>
      </w:r>
      <w:r w:rsidR="00652B5D">
        <w:rPr>
          <w:rFonts w:ascii="Times New Roman" w:hAnsi="Times New Roman" w:cs="Times New Roman"/>
          <w:sz w:val="24"/>
          <w:szCs w:val="24"/>
        </w:rPr>
        <w:t xml:space="preserve"> </w:t>
      </w:r>
      <w:r w:rsidR="00234947" w:rsidRPr="00234947">
        <w:rPr>
          <w:rFonts w:ascii="Times New Roman" w:hAnsi="Times New Roman" w:cs="Times New Roman"/>
          <w:sz w:val="24"/>
          <w:szCs w:val="24"/>
        </w:rPr>
        <w:t>the service provider hired by the developer) in a site</w:t>
      </w:r>
      <w:r w:rsidR="00652B5D">
        <w:rPr>
          <w:rFonts w:ascii="Times New Roman" w:hAnsi="Times New Roman" w:cs="Times New Roman"/>
          <w:sz w:val="24"/>
          <w:szCs w:val="24"/>
        </w:rPr>
        <w:t xml:space="preserve"> </w:t>
      </w:r>
      <w:r w:rsidR="00234947" w:rsidRPr="00234947">
        <w:rPr>
          <w:rFonts w:ascii="Times New Roman" w:hAnsi="Times New Roman" w:cs="Times New Roman"/>
          <w:sz w:val="24"/>
          <w:szCs w:val="24"/>
        </w:rPr>
        <w:t xml:space="preserve">situated on or near the site developed. </w:t>
      </w:r>
      <w:r w:rsidR="00161F28">
        <w:rPr>
          <w:rFonts w:ascii="Times New Roman" w:hAnsi="Times New Roman" w:cs="Times New Roman"/>
          <w:sz w:val="24"/>
          <w:szCs w:val="24"/>
        </w:rPr>
        <w:t>Alternatively, d</w:t>
      </w:r>
      <w:r w:rsidR="00652B5D">
        <w:rPr>
          <w:rFonts w:ascii="Times New Roman" w:hAnsi="Times New Roman" w:cs="Times New Roman"/>
          <w:sz w:val="24"/>
          <w:szCs w:val="24"/>
        </w:rPr>
        <w:t xml:space="preserve">evelopers can also pay a certain amount of money to environmental trusts who undertake conservation actions. </w:t>
      </w:r>
      <w:r w:rsidR="00161F28">
        <w:rPr>
          <w:rFonts w:ascii="Times New Roman" w:hAnsi="Times New Roman" w:cs="Times New Roman"/>
          <w:sz w:val="24"/>
          <w:szCs w:val="24"/>
        </w:rPr>
        <w:t xml:space="preserve">What we are </w:t>
      </w:r>
      <w:r w:rsidR="00161F28">
        <w:rPr>
          <w:rFonts w:ascii="Times New Roman" w:hAnsi="Times New Roman" w:cs="Times New Roman"/>
          <w:sz w:val="24"/>
          <w:szCs w:val="24"/>
        </w:rPr>
        <w:lastRenderedPageBreak/>
        <w:t xml:space="preserve">interested in in this review is biodiversity offset banking or markets, </w:t>
      </w:r>
      <w:r w:rsidR="00234947" w:rsidRPr="00234947">
        <w:rPr>
          <w:rFonts w:ascii="Times New Roman" w:hAnsi="Times New Roman" w:cs="Times New Roman"/>
          <w:sz w:val="24"/>
          <w:szCs w:val="24"/>
        </w:rPr>
        <w:t>where a supply of biodiversity credits is generated according to a specific</w:t>
      </w:r>
      <w:r w:rsidR="00276353">
        <w:rPr>
          <w:rFonts w:ascii="Times New Roman" w:hAnsi="Times New Roman" w:cs="Times New Roman"/>
          <w:sz w:val="24"/>
          <w:szCs w:val="24"/>
        </w:rPr>
        <w:t xml:space="preserve"> </w:t>
      </w:r>
      <w:r w:rsidR="00234947" w:rsidRPr="00234947">
        <w:rPr>
          <w:rFonts w:ascii="Times New Roman" w:hAnsi="Times New Roman" w:cs="Times New Roman"/>
          <w:sz w:val="24"/>
          <w:szCs w:val="24"/>
        </w:rPr>
        <w:t>accounting system and related methodology</w:t>
      </w:r>
      <w:r w:rsidR="00276353">
        <w:rPr>
          <w:rFonts w:ascii="Times New Roman" w:hAnsi="Times New Roman" w:cs="Times New Roman"/>
          <w:sz w:val="24"/>
          <w:szCs w:val="24"/>
        </w:rPr>
        <w:t xml:space="preserve"> (</w:t>
      </w:r>
      <w:proofErr w:type="spellStart"/>
      <w:r w:rsidR="000B4726" w:rsidRPr="000B4726">
        <w:rPr>
          <w:rFonts w:ascii="Times New Roman" w:hAnsi="Times New Roman" w:cs="Times New Roman"/>
          <w:sz w:val="24"/>
          <w:szCs w:val="24"/>
        </w:rPr>
        <w:t>Ruoso</w:t>
      </w:r>
      <w:proofErr w:type="spellEnd"/>
      <w:r w:rsidR="000B4726">
        <w:rPr>
          <w:rFonts w:ascii="Times New Roman" w:hAnsi="Times New Roman" w:cs="Times New Roman"/>
          <w:sz w:val="24"/>
          <w:szCs w:val="24"/>
        </w:rPr>
        <w:t xml:space="preserve"> and</w:t>
      </w:r>
      <w:r w:rsidR="000B4726" w:rsidRPr="000B4726">
        <w:rPr>
          <w:rFonts w:ascii="Times New Roman" w:hAnsi="Times New Roman" w:cs="Times New Roman"/>
          <w:sz w:val="24"/>
          <w:szCs w:val="24"/>
        </w:rPr>
        <w:t xml:space="preserve"> </w:t>
      </w:r>
      <w:r w:rsidR="000B4726">
        <w:rPr>
          <w:rFonts w:ascii="Times New Roman" w:hAnsi="Times New Roman" w:cs="Times New Roman"/>
          <w:sz w:val="24"/>
          <w:szCs w:val="24"/>
        </w:rPr>
        <w:t>P</w:t>
      </w:r>
      <w:r w:rsidR="000B4726" w:rsidRPr="000B4726">
        <w:rPr>
          <w:rFonts w:ascii="Times New Roman" w:hAnsi="Times New Roman" w:cs="Times New Roman"/>
          <w:sz w:val="24"/>
          <w:szCs w:val="24"/>
        </w:rPr>
        <w:t>lant</w:t>
      </w:r>
      <w:r w:rsidR="000B4726">
        <w:rPr>
          <w:rFonts w:ascii="Times New Roman" w:hAnsi="Times New Roman" w:cs="Times New Roman"/>
          <w:sz w:val="24"/>
          <w:szCs w:val="24"/>
        </w:rPr>
        <w:t xml:space="preserve"> </w:t>
      </w:r>
      <w:r w:rsidR="000B4726" w:rsidRPr="000B4726">
        <w:rPr>
          <w:rFonts w:ascii="Times New Roman" w:hAnsi="Times New Roman" w:cs="Times New Roman"/>
          <w:sz w:val="24"/>
          <w:szCs w:val="24"/>
        </w:rPr>
        <w:t>2021).</w:t>
      </w:r>
      <w:r w:rsidR="000B4726">
        <w:rPr>
          <w:rFonts w:ascii="Times New Roman" w:hAnsi="Times New Roman" w:cs="Times New Roman"/>
          <w:sz w:val="24"/>
          <w:szCs w:val="24"/>
        </w:rPr>
        <w:t xml:space="preserve"> </w:t>
      </w:r>
      <w:r w:rsidR="004632D1" w:rsidRPr="00462C0B">
        <w:rPr>
          <w:rFonts w:ascii="Times New Roman" w:hAnsi="Times New Roman" w:cs="Times New Roman"/>
          <w:sz w:val="24"/>
          <w:szCs w:val="24"/>
        </w:rPr>
        <w:t xml:space="preserve">This market </w:t>
      </w:r>
      <w:r w:rsidR="00A457E9" w:rsidRPr="00462C0B">
        <w:rPr>
          <w:rFonts w:ascii="Times New Roman" w:hAnsi="Times New Roman" w:cs="Times New Roman"/>
          <w:sz w:val="24"/>
          <w:szCs w:val="24"/>
        </w:rPr>
        <w:t xml:space="preserve">for biodiversity offset credits </w:t>
      </w:r>
      <w:r w:rsidR="004632D1" w:rsidRPr="00462C0B">
        <w:rPr>
          <w:rFonts w:ascii="Times New Roman" w:hAnsi="Times New Roman" w:cs="Times New Roman"/>
          <w:sz w:val="24"/>
          <w:szCs w:val="24"/>
        </w:rPr>
        <w:t xml:space="preserve">is thought to create an </w:t>
      </w:r>
      <w:r w:rsidR="00123287" w:rsidRPr="00462C0B">
        <w:rPr>
          <w:rFonts w:ascii="Times New Roman" w:hAnsi="Times New Roman" w:cs="Times New Roman"/>
          <w:sz w:val="24"/>
          <w:szCs w:val="24"/>
        </w:rPr>
        <w:t>economic incentive for conservation</w:t>
      </w:r>
      <w:r w:rsidR="004632D1" w:rsidRPr="00462C0B">
        <w:rPr>
          <w:rFonts w:ascii="Times New Roman" w:hAnsi="Times New Roman" w:cs="Times New Roman"/>
          <w:sz w:val="24"/>
          <w:szCs w:val="24"/>
        </w:rPr>
        <w:t xml:space="preserve">. It encourages </w:t>
      </w:r>
      <w:r w:rsidR="00123287" w:rsidRPr="00462C0B">
        <w:rPr>
          <w:rFonts w:ascii="Times New Roman" w:hAnsi="Times New Roman" w:cs="Times New Roman"/>
          <w:sz w:val="24"/>
          <w:szCs w:val="24"/>
        </w:rPr>
        <w:t>firms to take costly actions that benefit biodiversity by providing a financial return for their investment in biodiversity conservation</w:t>
      </w:r>
      <w:r w:rsidR="004632D1" w:rsidRPr="00462C0B">
        <w:rPr>
          <w:rFonts w:ascii="Times New Roman" w:hAnsi="Times New Roman" w:cs="Times New Roman"/>
          <w:sz w:val="24"/>
          <w:szCs w:val="24"/>
        </w:rPr>
        <w:t xml:space="preserve"> (Kangas and Ollikainen 2019). </w:t>
      </w:r>
      <w:r w:rsidR="00A457E9" w:rsidRPr="00462C0B">
        <w:rPr>
          <w:rFonts w:ascii="Times New Roman" w:hAnsi="Times New Roman" w:cs="Times New Roman"/>
          <w:sz w:val="24"/>
          <w:szCs w:val="24"/>
        </w:rPr>
        <w:t xml:space="preserve">Offset markets are </w:t>
      </w:r>
      <w:r w:rsidRPr="00462C0B">
        <w:rPr>
          <w:rFonts w:ascii="Times New Roman" w:hAnsi="Times New Roman" w:cs="Times New Roman"/>
          <w:sz w:val="24"/>
          <w:szCs w:val="24"/>
        </w:rPr>
        <w:t>created when multiple buyers and sellers of offsets interact with others through a trading process, typically moderated by an offset bank or regulator (</w:t>
      </w:r>
      <w:r w:rsidR="00A01620" w:rsidRPr="00462C0B">
        <w:rPr>
          <w:rFonts w:ascii="Times New Roman" w:hAnsi="Times New Roman" w:cs="Times New Roman"/>
          <w:sz w:val="24"/>
          <w:szCs w:val="24"/>
        </w:rPr>
        <w:t>Simpson</w:t>
      </w:r>
      <w:r w:rsidRPr="00462C0B">
        <w:rPr>
          <w:rFonts w:ascii="Times New Roman" w:hAnsi="Times New Roman" w:cs="Times New Roman"/>
          <w:sz w:val="24"/>
          <w:szCs w:val="24"/>
        </w:rPr>
        <w:t xml:space="preserve"> </w:t>
      </w:r>
      <w:r w:rsidR="001310B6" w:rsidRPr="00462C0B">
        <w:rPr>
          <w:rFonts w:ascii="Times New Roman" w:hAnsi="Times New Roman" w:cs="Times New Roman"/>
          <w:i/>
          <w:sz w:val="24"/>
          <w:szCs w:val="24"/>
        </w:rPr>
        <w:t>et al</w:t>
      </w:r>
      <w:r w:rsidR="00187D6A" w:rsidRPr="00462C0B">
        <w:rPr>
          <w:rFonts w:ascii="Times New Roman" w:hAnsi="Times New Roman" w:cs="Times New Roman"/>
          <w:i/>
          <w:sz w:val="24"/>
          <w:szCs w:val="24"/>
        </w:rPr>
        <w:t>.</w:t>
      </w:r>
      <w:r w:rsidRPr="00462C0B">
        <w:rPr>
          <w:rFonts w:ascii="Times New Roman" w:hAnsi="Times New Roman" w:cs="Times New Roman"/>
          <w:sz w:val="24"/>
          <w:szCs w:val="24"/>
        </w:rPr>
        <w:t xml:space="preserve"> 202</w:t>
      </w:r>
      <w:r w:rsidR="00A01620" w:rsidRPr="00462C0B">
        <w:rPr>
          <w:rFonts w:ascii="Times New Roman" w:hAnsi="Times New Roman" w:cs="Times New Roman"/>
          <w:sz w:val="24"/>
          <w:szCs w:val="24"/>
        </w:rPr>
        <w:t>1</w:t>
      </w:r>
      <w:r w:rsidRPr="00462C0B">
        <w:rPr>
          <w:rFonts w:ascii="Times New Roman" w:hAnsi="Times New Roman" w:cs="Times New Roman"/>
          <w:sz w:val="24"/>
          <w:szCs w:val="24"/>
        </w:rPr>
        <w:t xml:space="preserve">). </w:t>
      </w:r>
      <w:r w:rsidR="00A01620" w:rsidRPr="00462C0B">
        <w:rPr>
          <w:rFonts w:ascii="Times New Roman" w:hAnsi="Times New Roman" w:cs="Times New Roman"/>
          <w:sz w:val="24"/>
          <w:szCs w:val="24"/>
        </w:rPr>
        <w:t>L</w:t>
      </w:r>
      <w:r w:rsidRPr="00462C0B">
        <w:rPr>
          <w:rFonts w:ascii="Times New Roman" w:hAnsi="Times New Roman" w:cs="Times New Roman"/>
          <w:sz w:val="24"/>
          <w:szCs w:val="24"/>
        </w:rPr>
        <w:t xml:space="preserve">andowners can choose to manage land for conservation, generating offset credits which can then be sold to a developer who is required to mitigate development impacts, for example from house building, on some measure of biodiversity. </w:t>
      </w:r>
      <w:proofErr w:type="gramStart"/>
      <w:r w:rsidR="00E26784" w:rsidRPr="00462C0B">
        <w:rPr>
          <w:rFonts w:ascii="Times New Roman" w:hAnsi="Times New Roman" w:cs="Times New Roman"/>
          <w:sz w:val="24"/>
          <w:szCs w:val="24"/>
        </w:rPr>
        <w:t>Typically</w:t>
      </w:r>
      <w:proofErr w:type="gramEnd"/>
      <w:r w:rsidR="00E26784" w:rsidRPr="00462C0B">
        <w:rPr>
          <w:rFonts w:ascii="Times New Roman" w:hAnsi="Times New Roman" w:cs="Times New Roman"/>
          <w:sz w:val="24"/>
          <w:szCs w:val="24"/>
        </w:rPr>
        <w:t xml:space="preserve"> an offset bank or regulatory agency acts as a market enabler, </w:t>
      </w:r>
      <w:r w:rsidR="00EA0AFA" w:rsidRPr="00462C0B">
        <w:rPr>
          <w:rFonts w:ascii="Times New Roman" w:hAnsi="Times New Roman" w:cs="Times New Roman"/>
          <w:sz w:val="24"/>
          <w:szCs w:val="24"/>
        </w:rPr>
        <w:t xml:space="preserve">providing information on buy/sell offers, and approving credits before they can be traded. </w:t>
      </w:r>
      <w:r w:rsidRPr="00462C0B">
        <w:rPr>
          <w:rFonts w:ascii="Times New Roman" w:hAnsi="Times New Roman" w:cs="Times New Roman"/>
          <w:sz w:val="24"/>
          <w:szCs w:val="24"/>
        </w:rPr>
        <w:t xml:space="preserve">By establishing an appropriate rate of exchange between sellers and buyers, </w:t>
      </w:r>
      <w:r w:rsidR="00EA0AFA" w:rsidRPr="00462C0B">
        <w:rPr>
          <w:rFonts w:ascii="Times New Roman" w:hAnsi="Times New Roman" w:cs="Times New Roman"/>
          <w:sz w:val="24"/>
          <w:szCs w:val="24"/>
        </w:rPr>
        <w:t xml:space="preserve">such </w:t>
      </w:r>
      <w:r w:rsidRPr="00462C0B">
        <w:rPr>
          <w:rFonts w:ascii="Times New Roman" w:hAnsi="Times New Roman" w:cs="Times New Roman"/>
          <w:sz w:val="24"/>
          <w:szCs w:val="24"/>
        </w:rPr>
        <w:t xml:space="preserve">markets can, in theory, achieve </w:t>
      </w:r>
      <w:r w:rsidR="00EA0AFA" w:rsidRPr="00462C0B">
        <w:rPr>
          <w:rFonts w:ascii="Times New Roman" w:hAnsi="Times New Roman" w:cs="Times New Roman"/>
          <w:sz w:val="24"/>
          <w:szCs w:val="24"/>
        </w:rPr>
        <w:t>No Net Loss (</w:t>
      </w:r>
      <w:r w:rsidR="00A01620" w:rsidRPr="00462C0B">
        <w:rPr>
          <w:rFonts w:ascii="Times New Roman" w:hAnsi="Times New Roman" w:cs="Times New Roman"/>
          <w:sz w:val="24"/>
          <w:szCs w:val="24"/>
        </w:rPr>
        <w:t>NNL</w:t>
      </w:r>
      <w:r w:rsidR="00EA0AFA" w:rsidRPr="00462C0B">
        <w:rPr>
          <w:rFonts w:ascii="Times New Roman" w:hAnsi="Times New Roman" w:cs="Times New Roman"/>
          <w:sz w:val="24"/>
          <w:szCs w:val="24"/>
        </w:rPr>
        <w:t>)</w:t>
      </w:r>
      <w:r w:rsidR="00A01620" w:rsidRPr="00462C0B">
        <w:rPr>
          <w:rFonts w:ascii="Times New Roman" w:hAnsi="Times New Roman" w:cs="Times New Roman"/>
          <w:sz w:val="24"/>
          <w:szCs w:val="24"/>
        </w:rPr>
        <w:t xml:space="preserve"> or a </w:t>
      </w:r>
      <w:r w:rsidR="00EA0AFA" w:rsidRPr="00462C0B">
        <w:rPr>
          <w:rFonts w:ascii="Times New Roman" w:hAnsi="Times New Roman" w:cs="Times New Roman"/>
          <w:sz w:val="24"/>
          <w:szCs w:val="24"/>
        </w:rPr>
        <w:t>Net Gain (</w:t>
      </w:r>
      <w:r w:rsidR="00A01620" w:rsidRPr="00462C0B">
        <w:rPr>
          <w:rFonts w:ascii="Times New Roman" w:hAnsi="Times New Roman" w:cs="Times New Roman"/>
          <w:sz w:val="24"/>
          <w:szCs w:val="24"/>
        </w:rPr>
        <w:t>NG</w:t>
      </w:r>
      <w:r w:rsidR="00EA0AFA" w:rsidRPr="00462C0B">
        <w:rPr>
          <w:rFonts w:ascii="Times New Roman" w:hAnsi="Times New Roman" w:cs="Times New Roman"/>
          <w:sz w:val="24"/>
          <w:szCs w:val="24"/>
        </w:rPr>
        <w:t>)</w:t>
      </w:r>
      <w:r w:rsidR="00A01620" w:rsidRPr="00462C0B">
        <w:rPr>
          <w:rFonts w:ascii="Times New Roman" w:hAnsi="Times New Roman" w:cs="Times New Roman"/>
          <w:sz w:val="24"/>
          <w:szCs w:val="24"/>
        </w:rPr>
        <w:t xml:space="preserve"> in</w:t>
      </w:r>
      <w:r w:rsidRPr="00462C0B">
        <w:rPr>
          <w:rFonts w:ascii="Times New Roman" w:hAnsi="Times New Roman" w:cs="Times New Roman"/>
          <w:sz w:val="24"/>
          <w:szCs w:val="24"/>
        </w:rPr>
        <w:t xml:space="preserve"> biodiversity within some defined area at least cost.</w:t>
      </w:r>
      <w:r w:rsidR="00192906" w:rsidRPr="00462C0B">
        <w:rPr>
          <w:rFonts w:ascii="Times New Roman" w:hAnsi="Times New Roman" w:cs="Times New Roman"/>
          <w:sz w:val="24"/>
          <w:szCs w:val="24"/>
        </w:rPr>
        <w:t xml:space="preserve"> </w:t>
      </w:r>
    </w:p>
    <w:p w14:paraId="5D2CD119" w14:textId="181E0186" w:rsidR="003700F7" w:rsidRDefault="00922943" w:rsidP="003700F7">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Within offset policies, we focus </w:t>
      </w:r>
      <w:r w:rsidR="00292082" w:rsidRPr="00462C0B">
        <w:rPr>
          <w:rFonts w:ascii="Times New Roman" w:hAnsi="Times New Roman" w:cs="Times New Roman"/>
          <w:sz w:val="24"/>
          <w:szCs w:val="24"/>
        </w:rPr>
        <w:t xml:space="preserve">in this paper </w:t>
      </w:r>
      <w:r w:rsidRPr="00462C0B">
        <w:rPr>
          <w:rFonts w:ascii="Times New Roman" w:hAnsi="Times New Roman" w:cs="Times New Roman"/>
          <w:sz w:val="24"/>
          <w:szCs w:val="24"/>
        </w:rPr>
        <w:t xml:space="preserve">on the evidence base for how technical choices (such as biodiversity metrics, proximity constraints and treatment of ecological equivalence) </w:t>
      </w:r>
      <w:r w:rsidR="00292082" w:rsidRPr="00462C0B">
        <w:rPr>
          <w:rFonts w:ascii="Times New Roman" w:hAnsi="Times New Roman" w:cs="Times New Roman"/>
          <w:sz w:val="24"/>
          <w:szCs w:val="24"/>
        </w:rPr>
        <w:t>interact</w:t>
      </w:r>
      <w:r w:rsidRPr="00462C0B">
        <w:rPr>
          <w:rFonts w:ascii="Times New Roman" w:hAnsi="Times New Roman" w:cs="Times New Roman"/>
          <w:sz w:val="24"/>
          <w:szCs w:val="24"/>
        </w:rPr>
        <w:t xml:space="preserve"> with practical considerations (such as the expected duration of contracts, policy stability, and presence of localised expertise) to affect the outcomes of offset markets</w:t>
      </w:r>
      <w:r w:rsidR="00225A2C" w:rsidRPr="00462C0B">
        <w:rPr>
          <w:rFonts w:ascii="Times New Roman" w:hAnsi="Times New Roman" w:cs="Times New Roman"/>
          <w:sz w:val="24"/>
          <w:szCs w:val="24"/>
        </w:rPr>
        <w:t xml:space="preserve"> and </w:t>
      </w:r>
      <w:r w:rsidRPr="00462C0B">
        <w:rPr>
          <w:rFonts w:ascii="Times New Roman" w:hAnsi="Times New Roman" w:cs="Times New Roman"/>
          <w:sz w:val="24"/>
          <w:szCs w:val="24"/>
        </w:rPr>
        <w:t xml:space="preserve">trades. It is known that a perennial problem in the emergence of nascent </w:t>
      </w:r>
      <w:r w:rsidR="00FA7ECA" w:rsidRPr="00462C0B">
        <w:rPr>
          <w:rFonts w:ascii="Times New Roman" w:hAnsi="Times New Roman" w:cs="Times New Roman"/>
          <w:sz w:val="24"/>
          <w:szCs w:val="24"/>
        </w:rPr>
        <w:t>offset</w:t>
      </w:r>
      <w:r w:rsidRPr="00462C0B">
        <w:rPr>
          <w:rFonts w:ascii="Times New Roman" w:hAnsi="Times New Roman" w:cs="Times New Roman"/>
          <w:sz w:val="24"/>
          <w:szCs w:val="24"/>
        </w:rPr>
        <w:t xml:space="preserve"> markets has been a shortage in the supply of viable offset receptor sites</w:t>
      </w:r>
      <w:r w:rsidR="00FB2AFD">
        <w:rPr>
          <w:rFonts w:ascii="Times New Roman" w:hAnsi="Times New Roman" w:cs="Times New Roman"/>
          <w:sz w:val="24"/>
          <w:szCs w:val="24"/>
        </w:rPr>
        <w:t xml:space="preserve"> (for examples in England see Baker </w:t>
      </w:r>
      <w:r w:rsidR="00FB2AFD">
        <w:rPr>
          <w:rFonts w:ascii="Times New Roman" w:hAnsi="Times New Roman" w:cs="Times New Roman"/>
          <w:i/>
          <w:iCs/>
          <w:sz w:val="24"/>
          <w:szCs w:val="24"/>
        </w:rPr>
        <w:t>et al</w:t>
      </w:r>
      <w:r w:rsidR="00FB2AFD">
        <w:rPr>
          <w:rFonts w:ascii="Times New Roman" w:hAnsi="Times New Roman" w:cs="Times New Roman"/>
          <w:sz w:val="24"/>
          <w:szCs w:val="24"/>
        </w:rPr>
        <w:t xml:space="preserve"> 2014; for Australia see </w:t>
      </w:r>
      <w:proofErr w:type="spellStart"/>
      <w:r w:rsidR="003700F7" w:rsidRPr="003700F7">
        <w:rPr>
          <w:rFonts w:ascii="Times New Roman" w:hAnsi="Times New Roman" w:cs="Times New Roman"/>
          <w:sz w:val="24"/>
          <w:szCs w:val="24"/>
        </w:rPr>
        <w:t>Ruoso</w:t>
      </w:r>
      <w:proofErr w:type="spellEnd"/>
      <w:r w:rsidR="003700F7">
        <w:rPr>
          <w:rFonts w:ascii="Times New Roman" w:hAnsi="Times New Roman" w:cs="Times New Roman"/>
          <w:sz w:val="24"/>
          <w:szCs w:val="24"/>
        </w:rPr>
        <w:t xml:space="preserve"> and </w:t>
      </w:r>
      <w:r w:rsidR="003700F7" w:rsidRPr="003700F7">
        <w:rPr>
          <w:rFonts w:ascii="Times New Roman" w:hAnsi="Times New Roman" w:cs="Times New Roman"/>
          <w:sz w:val="24"/>
          <w:szCs w:val="24"/>
        </w:rPr>
        <w:t>Plant</w:t>
      </w:r>
      <w:r w:rsidR="003700F7">
        <w:rPr>
          <w:rFonts w:ascii="Times New Roman" w:hAnsi="Times New Roman" w:cs="Times New Roman"/>
          <w:sz w:val="24"/>
          <w:szCs w:val="24"/>
        </w:rPr>
        <w:t xml:space="preserve"> </w:t>
      </w:r>
      <w:r w:rsidR="003700F7" w:rsidRPr="003700F7">
        <w:rPr>
          <w:rFonts w:ascii="Times New Roman" w:hAnsi="Times New Roman" w:cs="Times New Roman"/>
          <w:sz w:val="24"/>
          <w:szCs w:val="24"/>
        </w:rPr>
        <w:t>2021</w:t>
      </w:r>
      <w:r w:rsidR="003700F7">
        <w:rPr>
          <w:rFonts w:ascii="Times New Roman" w:hAnsi="Times New Roman" w:cs="Times New Roman"/>
          <w:sz w:val="24"/>
          <w:szCs w:val="24"/>
        </w:rPr>
        <w:t xml:space="preserve">). </w:t>
      </w:r>
    </w:p>
    <w:p w14:paraId="3CA8DC32" w14:textId="202F99D2" w:rsidR="00503556" w:rsidRPr="00462C0B" w:rsidRDefault="0089551B" w:rsidP="00397C33">
      <w:pPr>
        <w:spacing w:line="360" w:lineRule="auto"/>
        <w:rPr>
          <w:rFonts w:ascii="Times New Roman" w:hAnsi="Times New Roman" w:cs="Times New Roman"/>
          <w:sz w:val="24"/>
          <w:szCs w:val="24"/>
        </w:rPr>
      </w:pPr>
      <w:r w:rsidRPr="00462C0B">
        <w:rPr>
          <w:rFonts w:ascii="Times New Roman" w:hAnsi="Times New Roman" w:cs="Times New Roman"/>
          <w:sz w:val="24"/>
          <w:szCs w:val="24"/>
        </w:rPr>
        <w:t>W</w:t>
      </w:r>
      <w:r w:rsidR="00922943" w:rsidRPr="00462C0B">
        <w:rPr>
          <w:rFonts w:ascii="Times New Roman" w:hAnsi="Times New Roman" w:cs="Times New Roman"/>
          <w:sz w:val="24"/>
          <w:szCs w:val="24"/>
        </w:rPr>
        <w:t xml:space="preserve">e consider whether key barriers to incentivising land managers into </w:t>
      </w:r>
      <w:r w:rsidR="00FA7ECA" w:rsidRPr="00462C0B">
        <w:rPr>
          <w:rFonts w:ascii="Times New Roman" w:hAnsi="Times New Roman" w:cs="Times New Roman"/>
          <w:sz w:val="24"/>
          <w:szCs w:val="24"/>
        </w:rPr>
        <w:t>offsetting</w:t>
      </w:r>
      <w:r w:rsidR="00922943" w:rsidRPr="00462C0B">
        <w:rPr>
          <w:rFonts w:ascii="Times New Roman" w:hAnsi="Times New Roman" w:cs="Times New Roman"/>
          <w:sz w:val="24"/>
          <w:szCs w:val="24"/>
        </w:rPr>
        <w:t xml:space="preserve"> lean more towards the theoretical or the practical. Substantial research has been carried out into important design parameters for biodiversity offset programmes, focussing on the theoretical (Bull </w:t>
      </w:r>
      <w:r w:rsidR="001310B6" w:rsidRPr="00462C0B">
        <w:rPr>
          <w:rFonts w:ascii="Times New Roman" w:hAnsi="Times New Roman" w:cs="Times New Roman"/>
          <w:i/>
          <w:sz w:val="24"/>
          <w:szCs w:val="24"/>
        </w:rPr>
        <w:t>et al</w:t>
      </w:r>
      <w:r w:rsidR="00922943" w:rsidRPr="00462C0B">
        <w:rPr>
          <w:rFonts w:ascii="Times New Roman" w:hAnsi="Times New Roman" w:cs="Times New Roman"/>
          <w:i/>
          <w:sz w:val="24"/>
          <w:szCs w:val="24"/>
        </w:rPr>
        <w:t>.</w:t>
      </w:r>
      <w:r w:rsidR="00922943" w:rsidRPr="00462C0B">
        <w:rPr>
          <w:rFonts w:ascii="Times New Roman" w:hAnsi="Times New Roman" w:cs="Times New Roman"/>
          <w:sz w:val="24"/>
          <w:szCs w:val="24"/>
        </w:rPr>
        <w:t xml:space="preserve"> 2013) to those focussed </w:t>
      </w:r>
      <w:proofErr w:type="gramStart"/>
      <w:r w:rsidR="00922943" w:rsidRPr="00462C0B">
        <w:rPr>
          <w:rFonts w:ascii="Times New Roman" w:hAnsi="Times New Roman" w:cs="Times New Roman"/>
          <w:sz w:val="24"/>
          <w:szCs w:val="24"/>
        </w:rPr>
        <w:t>around</w:t>
      </w:r>
      <w:proofErr w:type="gramEnd"/>
      <w:r w:rsidR="00922943" w:rsidRPr="00462C0B">
        <w:rPr>
          <w:rFonts w:ascii="Times New Roman" w:hAnsi="Times New Roman" w:cs="Times New Roman"/>
          <w:sz w:val="24"/>
          <w:szCs w:val="24"/>
        </w:rPr>
        <w:t xml:space="preserve"> implementation (Moilanen </w:t>
      </w:r>
      <w:r w:rsidR="00BB47C6" w:rsidRPr="00462C0B">
        <w:rPr>
          <w:rFonts w:ascii="Times New Roman" w:hAnsi="Times New Roman" w:cs="Times New Roman"/>
          <w:sz w:val="24"/>
          <w:szCs w:val="24"/>
        </w:rPr>
        <w:t>and</w:t>
      </w:r>
      <w:r w:rsidR="00922943" w:rsidRPr="00462C0B">
        <w:rPr>
          <w:rFonts w:ascii="Times New Roman" w:hAnsi="Times New Roman" w:cs="Times New Roman"/>
          <w:sz w:val="24"/>
          <w:szCs w:val="24"/>
        </w:rPr>
        <w:t xml:space="preserve"> Kotiaho 2018; White </w:t>
      </w:r>
      <w:r w:rsidR="001310B6" w:rsidRPr="00462C0B">
        <w:rPr>
          <w:rFonts w:ascii="Times New Roman" w:hAnsi="Times New Roman" w:cs="Times New Roman"/>
          <w:i/>
          <w:sz w:val="24"/>
          <w:szCs w:val="24"/>
        </w:rPr>
        <w:t>et al</w:t>
      </w:r>
      <w:r w:rsidR="00922943" w:rsidRPr="00462C0B">
        <w:rPr>
          <w:rFonts w:ascii="Times New Roman" w:hAnsi="Times New Roman" w:cs="Times New Roman"/>
          <w:sz w:val="24"/>
          <w:szCs w:val="24"/>
        </w:rPr>
        <w:t xml:space="preserve">. 2021). But offsetting requires land, and there are some important disincentives for land managers to participate: particularly the lack of flexibility in the measures required on offset sites to meet a </w:t>
      </w:r>
      <w:r w:rsidR="00CD23E3" w:rsidRPr="00462C0B">
        <w:rPr>
          <w:rFonts w:ascii="Times New Roman" w:hAnsi="Times New Roman" w:cs="Times New Roman"/>
          <w:sz w:val="24"/>
          <w:szCs w:val="24"/>
        </w:rPr>
        <w:t>no net loss or net gain</w:t>
      </w:r>
      <w:r w:rsidR="00922943" w:rsidRPr="00462C0B">
        <w:rPr>
          <w:rFonts w:ascii="Times New Roman" w:hAnsi="Times New Roman" w:cs="Times New Roman"/>
          <w:sz w:val="24"/>
          <w:szCs w:val="24"/>
        </w:rPr>
        <w:t xml:space="preserve"> objective; the longevity </w:t>
      </w:r>
      <w:r w:rsidR="00995116" w:rsidRPr="00462C0B">
        <w:rPr>
          <w:rFonts w:ascii="Times New Roman" w:hAnsi="Times New Roman" w:cs="Times New Roman"/>
          <w:sz w:val="24"/>
          <w:szCs w:val="24"/>
        </w:rPr>
        <w:t xml:space="preserve">of commitments to conservation land use </w:t>
      </w:r>
      <w:r w:rsidR="00922943" w:rsidRPr="00462C0B">
        <w:rPr>
          <w:rFonts w:ascii="Times New Roman" w:hAnsi="Times New Roman" w:cs="Times New Roman"/>
          <w:sz w:val="24"/>
          <w:szCs w:val="24"/>
        </w:rPr>
        <w:t xml:space="preserve">often specified by offset policy, which might potentially require offset management activities to be locked in for many decades (e.g. Damiens </w:t>
      </w:r>
      <w:r w:rsidR="001310B6" w:rsidRPr="00462C0B">
        <w:rPr>
          <w:rFonts w:ascii="Times New Roman" w:hAnsi="Times New Roman" w:cs="Times New Roman"/>
          <w:i/>
          <w:sz w:val="24"/>
          <w:szCs w:val="24"/>
        </w:rPr>
        <w:t>et al</w:t>
      </w:r>
      <w:r w:rsidR="00922943" w:rsidRPr="00462C0B">
        <w:rPr>
          <w:rFonts w:ascii="Times New Roman" w:hAnsi="Times New Roman" w:cs="Times New Roman"/>
          <w:sz w:val="24"/>
          <w:szCs w:val="24"/>
        </w:rPr>
        <w:t xml:space="preserve">. 2020). There is a temptation to relax policy rules </w:t>
      </w:r>
      <w:proofErr w:type="gramStart"/>
      <w:r w:rsidR="00922943" w:rsidRPr="00462C0B">
        <w:rPr>
          <w:rFonts w:ascii="Times New Roman" w:hAnsi="Times New Roman" w:cs="Times New Roman"/>
          <w:sz w:val="24"/>
          <w:szCs w:val="24"/>
        </w:rPr>
        <w:t>in order to</w:t>
      </w:r>
      <w:proofErr w:type="gramEnd"/>
      <w:r w:rsidR="00922943" w:rsidRPr="00462C0B">
        <w:rPr>
          <w:rFonts w:ascii="Times New Roman" w:hAnsi="Times New Roman" w:cs="Times New Roman"/>
          <w:sz w:val="24"/>
          <w:szCs w:val="24"/>
        </w:rPr>
        <w:t xml:space="preserve"> facilitate greater offset site availability</w:t>
      </w:r>
      <w:r w:rsidR="00503556" w:rsidRPr="00462C0B">
        <w:rPr>
          <w:rFonts w:ascii="Times New Roman" w:hAnsi="Times New Roman" w:cs="Times New Roman"/>
          <w:sz w:val="24"/>
          <w:szCs w:val="24"/>
        </w:rPr>
        <w:t xml:space="preserve"> (higher </w:t>
      </w:r>
      <w:r w:rsidR="00503556" w:rsidRPr="00462C0B">
        <w:rPr>
          <w:rFonts w:ascii="Times New Roman" w:hAnsi="Times New Roman" w:cs="Times New Roman"/>
          <w:sz w:val="24"/>
          <w:szCs w:val="24"/>
        </w:rPr>
        <w:lastRenderedPageBreak/>
        <w:t>levels of participation by offset suppliers)</w:t>
      </w:r>
      <w:r w:rsidR="00922943" w:rsidRPr="00462C0B">
        <w:rPr>
          <w:rFonts w:ascii="Times New Roman" w:hAnsi="Times New Roman" w:cs="Times New Roman"/>
          <w:sz w:val="24"/>
          <w:szCs w:val="24"/>
        </w:rPr>
        <w:t xml:space="preserve">, but this runs the risk of undermining the physical validity of the policies themselves (zu Ermgassen </w:t>
      </w:r>
      <w:r w:rsidR="001310B6" w:rsidRPr="00462C0B">
        <w:rPr>
          <w:rFonts w:ascii="Times New Roman" w:hAnsi="Times New Roman" w:cs="Times New Roman"/>
          <w:i/>
          <w:sz w:val="24"/>
          <w:szCs w:val="24"/>
        </w:rPr>
        <w:t>et al</w:t>
      </w:r>
      <w:r w:rsidR="00922943" w:rsidRPr="00462C0B">
        <w:rPr>
          <w:rFonts w:ascii="Times New Roman" w:hAnsi="Times New Roman" w:cs="Times New Roman"/>
          <w:sz w:val="24"/>
          <w:szCs w:val="24"/>
        </w:rPr>
        <w:t xml:space="preserve">. 2020). </w:t>
      </w:r>
    </w:p>
    <w:p w14:paraId="424CC1E8" w14:textId="6A86C8C1" w:rsidR="00625039" w:rsidRPr="00462C0B" w:rsidRDefault="00503556" w:rsidP="00506D73">
      <w:pPr>
        <w:spacing w:line="360" w:lineRule="auto"/>
        <w:rPr>
          <w:rFonts w:ascii="Times New Roman" w:eastAsia="Times New Roman" w:hAnsi="Times New Roman" w:cs="Times New Roman"/>
          <w:color w:val="000000" w:themeColor="text1"/>
          <w:sz w:val="24"/>
          <w:szCs w:val="24"/>
          <w:lang w:eastAsia="en-GB"/>
        </w:rPr>
      </w:pPr>
      <w:r w:rsidRPr="00462C0B">
        <w:rPr>
          <w:rFonts w:ascii="Times New Roman" w:hAnsi="Times New Roman" w:cs="Times New Roman"/>
          <w:sz w:val="24"/>
          <w:szCs w:val="24"/>
        </w:rPr>
        <w:t xml:space="preserve">This </w:t>
      </w:r>
      <w:r w:rsidR="00922943" w:rsidRPr="00462C0B">
        <w:rPr>
          <w:rFonts w:ascii="Times New Roman" w:hAnsi="Times New Roman" w:cs="Times New Roman"/>
          <w:sz w:val="24"/>
          <w:szCs w:val="24"/>
        </w:rPr>
        <w:t>review</w:t>
      </w:r>
      <w:r w:rsidRPr="00462C0B">
        <w:rPr>
          <w:rFonts w:ascii="Times New Roman" w:hAnsi="Times New Roman" w:cs="Times New Roman"/>
          <w:sz w:val="24"/>
          <w:szCs w:val="24"/>
        </w:rPr>
        <w:t xml:space="preserve"> paper</w:t>
      </w:r>
      <w:r w:rsidR="00922943" w:rsidRPr="00462C0B">
        <w:rPr>
          <w:rFonts w:ascii="Times New Roman" w:hAnsi="Times New Roman" w:cs="Times New Roman"/>
          <w:sz w:val="24"/>
          <w:szCs w:val="24"/>
        </w:rPr>
        <w:t xml:space="preserve"> seek</w:t>
      </w:r>
      <w:r w:rsidR="00970F2A" w:rsidRPr="00462C0B">
        <w:rPr>
          <w:rFonts w:ascii="Times New Roman" w:hAnsi="Times New Roman" w:cs="Times New Roman"/>
          <w:sz w:val="24"/>
          <w:szCs w:val="24"/>
        </w:rPr>
        <w:t xml:space="preserve">s </w:t>
      </w:r>
      <w:r w:rsidR="00922943" w:rsidRPr="00462C0B">
        <w:rPr>
          <w:rFonts w:ascii="Times New Roman" w:hAnsi="Times New Roman" w:cs="Times New Roman"/>
          <w:sz w:val="24"/>
          <w:szCs w:val="24"/>
        </w:rPr>
        <w:t xml:space="preserve">to collate and improve understanding of the incentives and disincentives for land managers to participate in offset </w:t>
      </w:r>
      <w:r w:rsidR="00BB47C6" w:rsidRPr="00462C0B">
        <w:rPr>
          <w:rFonts w:ascii="Times New Roman" w:hAnsi="Times New Roman" w:cs="Times New Roman"/>
          <w:sz w:val="24"/>
          <w:szCs w:val="24"/>
        </w:rPr>
        <w:t>markets</w:t>
      </w:r>
      <w:r w:rsidR="00A25C1B" w:rsidRPr="00462C0B">
        <w:rPr>
          <w:rFonts w:ascii="Times New Roman" w:hAnsi="Times New Roman" w:cs="Times New Roman"/>
          <w:sz w:val="24"/>
          <w:szCs w:val="24"/>
        </w:rPr>
        <w:t xml:space="preserve">. We </w:t>
      </w:r>
      <w:r w:rsidR="00922943" w:rsidRPr="00462C0B">
        <w:rPr>
          <w:rFonts w:ascii="Times New Roman" w:hAnsi="Times New Roman" w:cs="Times New Roman"/>
          <w:sz w:val="24"/>
          <w:szCs w:val="24"/>
        </w:rPr>
        <w:t>explore potential solutions for increasing participation without jeopardising the fundamental objectives of the policy</w:t>
      </w:r>
      <w:r w:rsidR="00A25C1B" w:rsidRPr="00462C0B">
        <w:rPr>
          <w:rFonts w:ascii="Times New Roman" w:hAnsi="Times New Roman" w:cs="Times New Roman"/>
          <w:sz w:val="24"/>
          <w:szCs w:val="24"/>
        </w:rPr>
        <w:t>, namely to conserve biodiversity</w:t>
      </w:r>
      <w:r w:rsidR="00922943" w:rsidRPr="00462C0B">
        <w:rPr>
          <w:rFonts w:ascii="Times New Roman" w:hAnsi="Times New Roman" w:cs="Times New Roman"/>
          <w:sz w:val="24"/>
          <w:szCs w:val="24"/>
        </w:rPr>
        <w:t xml:space="preserve">.  </w:t>
      </w:r>
      <w:r w:rsidRPr="00462C0B">
        <w:rPr>
          <w:rFonts w:ascii="Times New Roman" w:eastAsia="Times New Roman" w:hAnsi="Times New Roman" w:cs="Times New Roman"/>
          <w:color w:val="000000" w:themeColor="text1"/>
          <w:sz w:val="24"/>
          <w:szCs w:val="24"/>
          <w:lang w:eastAsia="en-GB"/>
        </w:rPr>
        <w:t>O</w:t>
      </w:r>
      <w:r w:rsidR="00625039" w:rsidRPr="00462C0B">
        <w:rPr>
          <w:rFonts w:ascii="Times New Roman" w:eastAsia="Times New Roman" w:hAnsi="Times New Roman" w:cs="Times New Roman"/>
          <w:color w:val="000000" w:themeColor="text1"/>
          <w:sz w:val="24"/>
          <w:szCs w:val="24"/>
          <w:lang w:eastAsia="en-GB"/>
        </w:rPr>
        <w:t xml:space="preserve">ur study provides an up-to-date overview of existing literature on the empirical implementation of markets for biodiversity offsets. </w:t>
      </w:r>
      <w:r w:rsidR="00506D73" w:rsidRPr="00462C0B">
        <w:rPr>
          <w:rFonts w:ascii="Times New Roman" w:eastAsia="Times New Roman" w:hAnsi="Times New Roman" w:cs="Times New Roman"/>
          <w:color w:val="000000" w:themeColor="text1"/>
          <w:sz w:val="24"/>
          <w:szCs w:val="24"/>
          <w:lang w:eastAsia="en-GB"/>
        </w:rPr>
        <w:t>The overarching aim of this paper is to critically review the academic and policy literatures on biodiversity offset schemes which reward landowners for protecting and enhancing biodiversity on their land. As such o</w:t>
      </w:r>
      <w:r w:rsidR="00625039" w:rsidRPr="00462C0B">
        <w:rPr>
          <w:rFonts w:ascii="Times New Roman" w:eastAsia="Times New Roman" w:hAnsi="Times New Roman" w:cs="Times New Roman"/>
          <w:color w:val="000000" w:themeColor="text1"/>
          <w:sz w:val="24"/>
          <w:szCs w:val="24"/>
          <w:lang w:eastAsia="en-GB"/>
        </w:rPr>
        <w:t>ur objectives are</w:t>
      </w:r>
      <w:r w:rsidR="0050666E" w:rsidRPr="00462C0B">
        <w:rPr>
          <w:rFonts w:ascii="Times New Roman" w:eastAsia="Times New Roman" w:hAnsi="Times New Roman" w:cs="Times New Roman"/>
          <w:color w:val="000000" w:themeColor="text1"/>
          <w:sz w:val="24"/>
          <w:szCs w:val="24"/>
          <w:lang w:eastAsia="en-GB"/>
        </w:rPr>
        <w:t>:</w:t>
      </w:r>
    </w:p>
    <w:p w14:paraId="15B7C22B" w14:textId="690B3F39" w:rsidR="00625039" w:rsidRPr="00462C0B" w:rsidRDefault="00625039" w:rsidP="00397C33">
      <w:pPr>
        <w:pStyle w:val="ListParagraph"/>
        <w:numPr>
          <w:ilvl w:val="0"/>
          <w:numId w:val="22"/>
        </w:numPr>
        <w:spacing w:line="360" w:lineRule="auto"/>
        <w:rPr>
          <w:rFonts w:ascii="Times New Roman" w:eastAsia="Times New Roman" w:hAnsi="Times New Roman" w:cs="Times New Roman"/>
          <w:color w:val="000000" w:themeColor="text1"/>
          <w:sz w:val="24"/>
          <w:szCs w:val="24"/>
          <w:lang w:eastAsia="en-GB"/>
        </w:rPr>
      </w:pPr>
      <w:r w:rsidRPr="00462C0B">
        <w:rPr>
          <w:rFonts w:ascii="Times New Roman" w:eastAsia="Times New Roman" w:hAnsi="Times New Roman" w:cs="Times New Roman"/>
          <w:color w:val="000000" w:themeColor="text1"/>
          <w:sz w:val="24"/>
          <w:szCs w:val="24"/>
          <w:lang w:eastAsia="en-GB"/>
        </w:rPr>
        <w:t xml:space="preserve">to provide a general overview of the design characteristics of </w:t>
      </w:r>
      <w:r w:rsidR="00AA091B" w:rsidRPr="00462C0B">
        <w:rPr>
          <w:rFonts w:ascii="Times New Roman" w:eastAsia="Times New Roman" w:hAnsi="Times New Roman" w:cs="Times New Roman"/>
          <w:color w:val="000000" w:themeColor="text1"/>
          <w:sz w:val="24"/>
          <w:szCs w:val="24"/>
          <w:lang w:eastAsia="en-GB"/>
        </w:rPr>
        <w:t xml:space="preserve">biodiversity offset </w:t>
      </w:r>
      <w:proofErr w:type="gramStart"/>
      <w:r w:rsidR="00307676" w:rsidRPr="00462C0B">
        <w:rPr>
          <w:rFonts w:ascii="Times New Roman" w:eastAsia="Times New Roman" w:hAnsi="Times New Roman" w:cs="Times New Roman"/>
          <w:color w:val="000000" w:themeColor="text1"/>
          <w:sz w:val="24"/>
          <w:szCs w:val="24"/>
          <w:lang w:eastAsia="en-GB"/>
        </w:rPr>
        <w:t>markets;</w:t>
      </w:r>
      <w:proofErr w:type="gramEnd"/>
    </w:p>
    <w:p w14:paraId="45A099C7" w14:textId="6A948F4F" w:rsidR="00625039" w:rsidRPr="00462C0B" w:rsidRDefault="00625039" w:rsidP="00397C33">
      <w:pPr>
        <w:pStyle w:val="ListParagraph"/>
        <w:numPr>
          <w:ilvl w:val="0"/>
          <w:numId w:val="22"/>
        </w:numPr>
        <w:spacing w:line="360" w:lineRule="auto"/>
        <w:rPr>
          <w:rFonts w:ascii="Times New Roman" w:eastAsia="Times New Roman" w:hAnsi="Times New Roman" w:cs="Times New Roman"/>
          <w:color w:val="000000" w:themeColor="text1"/>
          <w:sz w:val="24"/>
          <w:szCs w:val="24"/>
          <w:lang w:eastAsia="en-GB"/>
        </w:rPr>
      </w:pPr>
      <w:r w:rsidRPr="00462C0B">
        <w:rPr>
          <w:rFonts w:ascii="Times New Roman" w:eastAsia="Times New Roman" w:hAnsi="Times New Roman" w:cs="Times New Roman"/>
          <w:color w:val="000000" w:themeColor="text1"/>
          <w:sz w:val="24"/>
          <w:szCs w:val="24"/>
          <w:lang w:eastAsia="en-GB"/>
        </w:rPr>
        <w:t xml:space="preserve">to identify the </w:t>
      </w:r>
      <w:r w:rsidR="00844F63" w:rsidRPr="00462C0B">
        <w:rPr>
          <w:rFonts w:ascii="Times New Roman" w:eastAsia="Times New Roman" w:hAnsi="Times New Roman" w:cs="Times New Roman"/>
          <w:color w:val="000000" w:themeColor="text1"/>
          <w:sz w:val="24"/>
          <w:szCs w:val="24"/>
          <w:lang w:eastAsia="en-GB"/>
        </w:rPr>
        <w:t xml:space="preserve">barriers to </w:t>
      </w:r>
      <w:r w:rsidR="00DB5C39" w:rsidRPr="00462C0B">
        <w:rPr>
          <w:rFonts w:ascii="Times New Roman" w:eastAsia="Times New Roman" w:hAnsi="Times New Roman" w:cs="Times New Roman"/>
          <w:color w:val="000000" w:themeColor="text1"/>
          <w:sz w:val="24"/>
          <w:szCs w:val="24"/>
          <w:lang w:eastAsia="en-GB"/>
        </w:rPr>
        <w:t xml:space="preserve">landowners for creating </w:t>
      </w:r>
      <w:r w:rsidR="00307676" w:rsidRPr="00462C0B">
        <w:rPr>
          <w:rFonts w:ascii="Times New Roman" w:eastAsia="Times New Roman" w:hAnsi="Times New Roman" w:cs="Times New Roman"/>
          <w:color w:val="000000" w:themeColor="text1"/>
          <w:sz w:val="24"/>
          <w:szCs w:val="24"/>
          <w:lang w:eastAsia="en-GB"/>
        </w:rPr>
        <w:t xml:space="preserve">biodiversity </w:t>
      </w:r>
      <w:proofErr w:type="gramStart"/>
      <w:r w:rsidR="00307676" w:rsidRPr="00462C0B">
        <w:rPr>
          <w:rFonts w:ascii="Times New Roman" w:eastAsia="Times New Roman" w:hAnsi="Times New Roman" w:cs="Times New Roman"/>
          <w:color w:val="000000" w:themeColor="text1"/>
          <w:sz w:val="24"/>
          <w:szCs w:val="24"/>
          <w:lang w:eastAsia="en-GB"/>
        </w:rPr>
        <w:t>offsets;</w:t>
      </w:r>
      <w:proofErr w:type="gramEnd"/>
    </w:p>
    <w:p w14:paraId="604AB9DD" w14:textId="4C2017ED" w:rsidR="00307676" w:rsidRPr="00462C0B" w:rsidRDefault="00400033" w:rsidP="00397C33">
      <w:pPr>
        <w:pStyle w:val="ListParagraph"/>
        <w:numPr>
          <w:ilvl w:val="0"/>
          <w:numId w:val="22"/>
        </w:numPr>
        <w:spacing w:line="360" w:lineRule="auto"/>
        <w:rPr>
          <w:rFonts w:ascii="Times New Roman" w:eastAsia="Times New Roman" w:hAnsi="Times New Roman" w:cs="Times New Roman"/>
          <w:color w:val="000000" w:themeColor="text1"/>
          <w:sz w:val="24"/>
          <w:szCs w:val="24"/>
          <w:lang w:eastAsia="en-GB"/>
        </w:rPr>
      </w:pPr>
      <w:r w:rsidRPr="00462C0B">
        <w:rPr>
          <w:rFonts w:ascii="Times New Roman" w:eastAsia="Times New Roman" w:hAnsi="Times New Roman" w:cs="Times New Roman"/>
          <w:color w:val="000000" w:themeColor="text1"/>
          <w:sz w:val="24"/>
          <w:szCs w:val="24"/>
          <w:lang w:eastAsia="en-GB"/>
        </w:rPr>
        <w:t>to identify factors that drive participants to buy and sell biodiversity offset credits, and</w:t>
      </w:r>
    </w:p>
    <w:p w14:paraId="31868E44" w14:textId="26BF42BF" w:rsidR="00625039" w:rsidRPr="00462C0B" w:rsidRDefault="00DB5C39" w:rsidP="00397C33">
      <w:pPr>
        <w:pStyle w:val="ListParagraph"/>
        <w:numPr>
          <w:ilvl w:val="0"/>
          <w:numId w:val="22"/>
        </w:numPr>
        <w:spacing w:line="360" w:lineRule="auto"/>
        <w:rPr>
          <w:rFonts w:ascii="Times New Roman" w:eastAsia="Times New Roman" w:hAnsi="Times New Roman" w:cs="Times New Roman"/>
          <w:color w:val="000000" w:themeColor="text1"/>
          <w:sz w:val="24"/>
          <w:szCs w:val="24"/>
          <w:lang w:eastAsia="en-GB"/>
        </w:rPr>
      </w:pPr>
      <w:r w:rsidRPr="00462C0B">
        <w:rPr>
          <w:rFonts w:ascii="Times New Roman" w:eastAsia="Times New Roman" w:hAnsi="Times New Roman" w:cs="Times New Roman"/>
          <w:color w:val="000000" w:themeColor="text1"/>
          <w:sz w:val="24"/>
          <w:szCs w:val="24"/>
          <w:lang w:eastAsia="en-GB"/>
        </w:rPr>
        <w:t xml:space="preserve">identify </w:t>
      </w:r>
      <w:r w:rsidR="00625039" w:rsidRPr="00462C0B">
        <w:rPr>
          <w:rFonts w:ascii="Times New Roman" w:eastAsia="Times New Roman" w:hAnsi="Times New Roman" w:cs="Times New Roman"/>
          <w:color w:val="000000" w:themeColor="text1"/>
          <w:sz w:val="24"/>
          <w:szCs w:val="24"/>
          <w:lang w:eastAsia="en-GB"/>
        </w:rPr>
        <w:t xml:space="preserve">existing research gaps. </w:t>
      </w:r>
    </w:p>
    <w:p w14:paraId="118B0254" w14:textId="6F79F6C3" w:rsidR="00C32269" w:rsidRPr="00462C0B" w:rsidRDefault="005D7CDC" w:rsidP="00397C33">
      <w:pPr>
        <w:spacing w:line="360" w:lineRule="auto"/>
        <w:rPr>
          <w:rFonts w:ascii="Times New Roman" w:eastAsia="Times New Roman" w:hAnsi="Times New Roman" w:cs="Times New Roman"/>
          <w:b/>
          <w:bCs/>
          <w:color w:val="000000" w:themeColor="text1"/>
          <w:sz w:val="24"/>
          <w:szCs w:val="24"/>
          <w:lang w:eastAsia="en-GB"/>
        </w:rPr>
      </w:pPr>
      <w:r w:rsidRPr="00462C0B">
        <w:rPr>
          <w:rFonts w:ascii="Times New Roman" w:eastAsia="Times New Roman" w:hAnsi="Times New Roman" w:cs="Times New Roman"/>
          <w:color w:val="000000" w:themeColor="text1"/>
          <w:sz w:val="24"/>
          <w:szCs w:val="24"/>
          <w:lang w:eastAsia="en-GB"/>
        </w:rPr>
        <w:t>To fulfi</w:t>
      </w:r>
      <w:r w:rsidR="007C52F6" w:rsidRPr="00462C0B">
        <w:rPr>
          <w:rFonts w:ascii="Times New Roman" w:eastAsia="Times New Roman" w:hAnsi="Times New Roman" w:cs="Times New Roman"/>
          <w:color w:val="000000" w:themeColor="text1"/>
          <w:sz w:val="24"/>
          <w:szCs w:val="24"/>
          <w:lang w:eastAsia="en-GB"/>
        </w:rPr>
        <w:t>l</w:t>
      </w:r>
      <w:r w:rsidRPr="00462C0B">
        <w:rPr>
          <w:rFonts w:ascii="Times New Roman" w:eastAsia="Times New Roman" w:hAnsi="Times New Roman" w:cs="Times New Roman"/>
          <w:color w:val="000000" w:themeColor="text1"/>
          <w:sz w:val="24"/>
          <w:szCs w:val="24"/>
          <w:lang w:eastAsia="en-GB"/>
        </w:rPr>
        <w:t xml:space="preserve"> these objectives, we found </w:t>
      </w:r>
      <w:r w:rsidR="00477672" w:rsidRPr="00462C0B">
        <w:rPr>
          <w:rFonts w:ascii="Times New Roman" w:eastAsia="Times New Roman" w:hAnsi="Times New Roman" w:cs="Times New Roman"/>
          <w:color w:val="000000" w:themeColor="text1"/>
          <w:sz w:val="24"/>
          <w:szCs w:val="24"/>
          <w:lang w:eastAsia="en-GB"/>
        </w:rPr>
        <w:t xml:space="preserve">a </w:t>
      </w:r>
      <w:r w:rsidR="00346143" w:rsidRPr="00462C0B">
        <w:rPr>
          <w:rFonts w:ascii="Times New Roman" w:eastAsia="Times New Roman" w:hAnsi="Times New Roman" w:cs="Times New Roman"/>
          <w:color w:val="000000" w:themeColor="text1"/>
          <w:sz w:val="24"/>
          <w:szCs w:val="24"/>
          <w:lang w:eastAsia="en-GB"/>
        </w:rPr>
        <w:t>scoping review</w:t>
      </w:r>
      <w:r w:rsidR="00583F72" w:rsidRPr="00462C0B">
        <w:rPr>
          <w:rFonts w:ascii="Times New Roman" w:eastAsia="Times New Roman" w:hAnsi="Times New Roman" w:cs="Times New Roman"/>
          <w:color w:val="000000" w:themeColor="text1"/>
          <w:sz w:val="24"/>
          <w:szCs w:val="24"/>
          <w:lang w:eastAsia="en-GB"/>
        </w:rPr>
        <w:t xml:space="preserve"> approach</w:t>
      </w:r>
      <w:r w:rsidR="00346143" w:rsidRPr="00462C0B">
        <w:rPr>
          <w:rFonts w:ascii="Times New Roman" w:eastAsia="Times New Roman" w:hAnsi="Times New Roman" w:cs="Times New Roman"/>
          <w:color w:val="000000" w:themeColor="text1"/>
          <w:sz w:val="24"/>
          <w:szCs w:val="24"/>
          <w:lang w:eastAsia="en-GB"/>
        </w:rPr>
        <w:t xml:space="preserve"> </w:t>
      </w:r>
      <w:r w:rsidR="00477672" w:rsidRPr="00462C0B">
        <w:rPr>
          <w:rFonts w:ascii="Times New Roman" w:eastAsia="Times New Roman" w:hAnsi="Times New Roman" w:cs="Times New Roman"/>
          <w:color w:val="000000" w:themeColor="text1"/>
          <w:sz w:val="24"/>
          <w:szCs w:val="24"/>
          <w:lang w:eastAsia="en-GB"/>
        </w:rPr>
        <w:t xml:space="preserve">to be </w:t>
      </w:r>
      <w:r w:rsidR="00346143" w:rsidRPr="00462C0B">
        <w:rPr>
          <w:rFonts w:ascii="Times New Roman" w:eastAsia="Times New Roman" w:hAnsi="Times New Roman" w:cs="Times New Roman"/>
          <w:color w:val="000000" w:themeColor="text1"/>
          <w:sz w:val="24"/>
          <w:szCs w:val="24"/>
          <w:lang w:eastAsia="en-GB"/>
        </w:rPr>
        <w:t xml:space="preserve">the most relevant method. A scoping review is a systematic literature review approach that seeks to </w:t>
      </w:r>
      <w:r w:rsidR="00E26DC3" w:rsidRPr="00462C0B">
        <w:rPr>
          <w:rFonts w:ascii="Times New Roman" w:eastAsia="Times New Roman" w:hAnsi="Times New Roman" w:cs="Times New Roman"/>
          <w:color w:val="000000" w:themeColor="text1"/>
          <w:sz w:val="24"/>
          <w:szCs w:val="24"/>
          <w:lang w:eastAsia="en-GB"/>
        </w:rPr>
        <w:t>represent</w:t>
      </w:r>
      <w:r w:rsidR="00346143" w:rsidRPr="00462C0B">
        <w:rPr>
          <w:rFonts w:ascii="Times New Roman" w:eastAsia="Times New Roman" w:hAnsi="Times New Roman" w:cs="Times New Roman"/>
          <w:color w:val="000000" w:themeColor="text1"/>
          <w:sz w:val="24"/>
          <w:szCs w:val="24"/>
          <w:lang w:eastAsia="en-GB"/>
        </w:rPr>
        <w:t xml:space="preserve">, </w:t>
      </w:r>
      <w:r w:rsidR="00E26DC3" w:rsidRPr="00462C0B">
        <w:rPr>
          <w:rFonts w:ascii="Times New Roman" w:eastAsia="Times New Roman" w:hAnsi="Times New Roman" w:cs="Times New Roman"/>
          <w:color w:val="000000" w:themeColor="text1"/>
          <w:sz w:val="24"/>
          <w:szCs w:val="24"/>
          <w:lang w:eastAsia="en-GB"/>
        </w:rPr>
        <w:t>evaluate</w:t>
      </w:r>
      <w:r w:rsidR="00346143" w:rsidRPr="00462C0B">
        <w:rPr>
          <w:rFonts w:ascii="Times New Roman" w:eastAsia="Times New Roman" w:hAnsi="Times New Roman" w:cs="Times New Roman"/>
          <w:color w:val="000000" w:themeColor="text1"/>
          <w:sz w:val="24"/>
          <w:szCs w:val="24"/>
          <w:lang w:eastAsia="en-GB"/>
        </w:rPr>
        <w:t xml:space="preserve">, and </w:t>
      </w:r>
      <w:r w:rsidR="00E26DC3" w:rsidRPr="00462C0B">
        <w:rPr>
          <w:rFonts w:ascii="Times New Roman" w:eastAsia="Times New Roman" w:hAnsi="Times New Roman" w:cs="Times New Roman"/>
          <w:color w:val="000000" w:themeColor="text1"/>
          <w:sz w:val="24"/>
          <w:szCs w:val="24"/>
          <w:lang w:eastAsia="en-GB"/>
        </w:rPr>
        <w:t>describe</w:t>
      </w:r>
      <w:r w:rsidRPr="00462C0B">
        <w:rPr>
          <w:rFonts w:ascii="Times New Roman" w:eastAsia="Times New Roman" w:hAnsi="Times New Roman" w:cs="Times New Roman"/>
          <w:color w:val="000000" w:themeColor="text1"/>
          <w:sz w:val="24"/>
          <w:szCs w:val="24"/>
          <w:lang w:eastAsia="en-GB"/>
        </w:rPr>
        <w:t xml:space="preserve"> the contents of various previous studies </w:t>
      </w:r>
      <w:r w:rsidR="007C52F6" w:rsidRPr="00462C0B">
        <w:rPr>
          <w:rFonts w:ascii="Times New Roman" w:eastAsia="Times New Roman" w:hAnsi="Times New Roman" w:cs="Times New Roman"/>
          <w:color w:val="000000" w:themeColor="text1"/>
          <w:sz w:val="24"/>
          <w:szCs w:val="24"/>
          <w:lang w:eastAsia="en-GB"/>
        </w:rPr>
        <w:t>to understand</w:t>
      </w:r>
      <w:r w:rsidRPr="00462C0B">
        <w:rPr>
          <w:rFonts w:ascii="Times New Roman" w:eastAsia="Times New Roman" w:hAnsi="Times New Roman" w:cs="Times New Roman"/>
          <w:color w:val="000000" w:themeColor="text1"/>
          <w:sz w:val="24"/>
          <w:szCs w:val="24"/>
          <w:lang w:eastAsia="en-GB"/>
        </w:rPr>
        <w:t xml:space="preserve"> the evidence presented </w:t>
      </w:r>
      <w:r w:rsidR="00F27B3C" w:rsidRPr="00462C0B">
        <w:rPr>
          <w:rFonts w:ascii="Times New Roman" w:eastAsia="Times New Roman" w:hAnsi="Times New Roman" w:cs="Times New Roman"/>
          <w:color w:val="000000" w:themeColor="text1"/>
          <w:sz w:val="24"/>
          <w:szCs w:val="24"/>
          <w:lang w:eastAsia="en-GB"/>
        </w:rPr>
        <w:t xml:space="preserve">while </w:t>
      </w:r>
      <w:r w:rsidRPr="00462C0B">
        <w:rPr>
          <w:rFonts w:ascii="Times New Roman" w:eastAsia="Times New Roman" w:hAnsi="Times New Roman" w:cs="Times New Roman"/>
          <w:color w:val="000000" w:themeColor="text1"/>
          <w:sz w:val="24"/>
          <w:szCs w:val="24"/>
          <w:lang w:eastAsia="en-GB"/>
        </w:rPr>
        <w:t xml:space="preserve">identifying potential knowledge gaps </w:t>
      </w:r>
      <w:r w:rsidR="00346143" w:rsidRPr="00462C0B">
        <w:rPr>
          <w:rFonts w:ascii="Times New Roman" w:eastAsia="Times New Roman" w:hAnsi="Times New Roman" w:cs="Times New Roman"/>
          <w:color w:val="000000" w:themeColor="text1"/>
          <w:sz w:val="24"/>
          <w:szCs w:val="24"/>
          <w:lang w:eastAsia="en-GB"/>
        </w:rPr>
        <w:t>(Arksey and O’Malley 2005).</w:t>
      </w:r>
      <w:r w:rsidR="00855EFB" w:rsidRPr="00462C0B">
        <w:rPr>
          <w:rFonts w:ascii="Times New Roman" w:eastAsia="Times New Roman" w:hAnsi="Times New Roman" w:cs="Times New Roman"/>
          <w:b/>
          <w:bCs/>
          <w:color w:val="000000" w:themeColor="text1"/>
          <w:sz w:val="24"/>
          <w:szCs w:val="24"/>
          <w:lang w:eastAsia="en-GB"/>
        </w:rPr>
        <w:t xml:space="preserve"> </w:t>
      </w:r>
    </w:p>
    <w:p w14:paraId="57330A3A" w14:textId="77777777" w:rsidR="00F223E5" w:rsidRPr="00462C0B" w:rsidRDefault="00F223E5" w:rsidP="00E55D59">
      <w:pPr>
        <w:pStyle w:val="Heading2"/>
      </w:pPr>
      <w:r w:rsidRPr="00462C0B">
        <w:t>Research questions:</w:t>
      </w:r>
    </w:p>
    <w:p w14:paraId="5C1C250A" w14:textId="035161F3" w:rsidR="00F223E5" w:rsidRPr="00462C0B" w:rsidRDefault="00F223E5" w:rsidP="00397C33">
      <w:pPr>
        <w:spacing w:line="360" w:lineRule="auto"/>
        <w:rPr>
          <w:rFonts w:ascii="Times New Roman" w:eastAsia="Times New Roman" w:hAnsi="Times New Roman" w:cs="Times New Roman"/>
          <w:color w:val="000000" w:themeColor="text1"/>
          <w:sz w:val="24"/>
          <w:szCs w:val="24"/>
          <w:lang w:eastAsia="en-GB"/>
        </w:rPr>
      </w:pPr>
      <w:r w:rsidRPr="00462C0B">
        <w:rPr>
          <w:rFonts w:ascii="Times New Roman" w:eastAsia="Times New Roman" w:hAnsi="Times New Roman" w:cs="Times New Roman"/>
          <w:color w:val="000000" w:themeColor="text1"/>
          <w:sz w:val="24"/>
          <w:szCs w:val="24"/>
          <w:lang w:eastAsia="en-GB"/>
        </w:rPr>
        <w:t xml:space="preserve">Besides providing a detailed account of evidence within each study (see </w:t>
      </w:r>
      <w:r w:rsidR="000B096E" w:rsidRPr="00462C0B">
        <w:rPr>
          <w:rFonts w:ascii="Times New Roman" w:eastAsia="Times New Roman" w:hAnsi="Times New Roman" w:cs="Times New Roman"/>
          <w:color w:val="000000" w:themeColor="text1"/>
          <w:sz w:val="24"/>
          <w:szCs w:val="24"/>
          <w:lang w:eastAsia="en-GB"/>
        </w:rPr>
        <w:t>S</w:t>
      </w:r>
      <w:r w:rsidRPr="00462C0B">
        <w:rPr>
          <w:rFonts w:ascii="Times New Roman" w:eastAsia="Times New Roman" w:hAnsi="Times New Roman" w:cs="Times New Roman"/>
          <w:color w:val="000000" w:themeColor="text1"/>
          <w:sz w:val="24"/>
          <w:szCs w:val="24"/>
          <w:lang w:eastAsia="en-GB"/>
        </w:rPr>
        <w:t xml:space="preserve">upplementary </w:t>
      </w:r>
      <w:r w:rsidR="000B096E" w:rsidRPr="00462C0B">
        <w:rPr>
          <w:rFonts w:ascii="Times New Roman" w:eastAsia="Times New Roman" w:hAnsi="Times New Roman" w:cs="Times New Roman"/>
          <w:color w:val="000000" w:themeColor="text1"/>
          <w:sz w:val="24"/>
          <w:szCs w:val="24"/>
          <w:lang w:eastAsia="en-GB"/>
        </w:rPr>
        <w:t>M</w:t>
      </w:r>
      <w:r w:rsidRPr="00462C0B">
        <w:rPr>
          <w:rFonts w:ascii="Times New Roman" w:eastAsia="Times New Roman" w:hAnsi="Times New Roman" w:cs="Times New Roman"/>
          <w:color w:val="000000" w:themeColor="text1"/>
          <w:sz w:val="24"/>
          <w:szCs w:val="24"/>
          <w:lang w:eastAsia="en-GB"/>
        </w:rPr>
        <w:t xml:space="preserve">aterial 1 – </w:t>
      </w:r>
      <w:r w:rsidR="000B096E" w:rsidRPr="00462C0B">
        <w:rPr>
          <w:rFonts w:ascii="Times New Roman" w:eastAsia="Times New Roman" w:hAnsi="Times New Roman" w:cs="Times New Roman"/>
          <w:color w:val="000000" w:themeColor="text1"/>
          <w:sz w:val="24"/>
          <w:szCs w:val="24"/>
          <w:lang w:eastAsia="en-GB"/>
        </w:rPr>
        <w:t>E</w:t>
      </w:r>
      <w:r w:rsidRPr="00462C0B">
        <w:rPr>
          <w:rFonts w:ascii="Times New Roman" w:eastAsia="Times New Roman" w:hAnsi="Times New Roman" w:cs="Times New Roman"/>
          <w:color w:val="000000" w:themeColor="text1"/>
          <w:sz w:val="24"/>
          <w:szCs w:val="24"/>
          <w:lang w:eastAsia="en-GB"/>
        </w:rPr>
        <w:t xml:space="preserve">xcel sheet), we sought to answer the following specific questions: </w:t>
      </w:r>
    </w:p>
    <w:p w14:paraId="441CC529" w14:textId="51A79216" w:rsidR="00761DE1" w:rsidRPr="00462C0B" w:rsidRDefault="00761DE1" w:rsidP="00397C33">
      <w:pPr>
        <w:pStyle w:val="ListParagraph"/>
        <w:numPr>
          <w:ilvl w:val="0"/>
          <w:numId w:val="24"/>
        </w:numPr>
        <w:spacing w:line="360" w:lineRule="auto"/>
        <w:rPr>
          <w:rFonts w:ascii="Times New Roman" w:eastAsia="Times New Roman" w:hAnsi="Times New Roman" w:cs="Times New Roman"/>
          <w:color w:val="000000" w:themeColor="text1"/>
          <w:sz w:val="24"/>
          <w:szCs w:val="24"/>
          <w:lang w:eastAsia="en-GB"/>
        </w:rPr>
      </w:pPr>
      <w:r w:rsidRPr="00462C0B">
        <w:rPr>
          <w:rFonts w:ascii="Times New Roman" w:eastAsia="Times New Roman" w:hAnsi="Times New Roman" w:cs="Times New Roman"/>
          <w:color w:val="000000" w:themeColor="text1"/>
          <w:sz w:val="24"/>
          <w:szCs w:val="24"/>
          <w:lang w:eastAsia="en-GB"/>
        </w:rPr>
        <w:t>H</w:t>
      </w:r>
      <w:r w:rsidR="00CA01F6" w:rsidRPr="00462C0B">
        <w:rPr>
          <w:rFonts w:ascii="Times New Roman" w:eastAsia="Times New Roman" w:hAnsi="Times New Roman" w:cs="Times New Roman"/>
          <w:color w:val="000000" w:themeColor="text1"/>
          <w:sz w:val="24"/>
          <w:szCs w:val="24"/>
          <w:lang w:eastAsia="en-GB"/>
        </w:rPr>
        <w:t xml:space="preserve">ow </w:t>
      </w:r>
      <w:r w:rsidR="00E55D59" w:rsidRPr="00462C0B">
        <w:rPr>
          <w:rFonts w:ascii="Times New Roman" w:eastAsia="Times New Roman" w:hAnsi="Times New Roman" w:cs="Times New Roman"/>
          <w:color w:val="000000" w:themeColor="text1"/>
          <w:sz w:val="24"/>
          <w:szCs w:val="24"/>
          <w:lang w:eastAsia="en-GB"/>
        </w:rPr>
        <w:t xml:space="preserve">do </w:t>
      </w:r>
      <w:r w:rsidR="00CA01F6" w:rsidRPr="00462C0B">
        <w:rPr>
          <w:rFonts w:ascii="Times New Roman" w:eastAsia="Times New Roman" w:hAnsi="Times New Roman" w:cs="Times New Roman"/>
          <w:color w:val="000000" w:themeColor="text1"/>
          <w:sz w:val="24"/>
          <w:szCs w:val="24"/>
          <w:lang w:eastAsia="en-GB"/>
        </w:rPr>
        <w:t>technical choices (such as biodiversity metrics, proximity constraints and treatment of ecological equivalence) vie with practical considerations (such as the expected duration of contracts, policy stability, and presence of localised expertise) to affect the outcomes of offset markets/trades</w:t>
      </w:r>
      <w:r w:rsidRPr="00462C0B">
        <w:rPr>
          <w:rFonts w:ascii="Times New Roman" w:eastAsia="Times New Roman" w:hAnsi="Times New Roman" w:cs="Times New Roman"/>
          <w:color w:val="000000" w:themeColor="text1"/>
          <w:sz w:val="24"/>
          <w:szCs w:val="24"/>
          <w:lang w:eastAsia="en-GB"/>
        </w:rPr>
        <w:t>?</w:t>
      </w:r>
    </w:p>
    <w:p w14:paraId="108B2E62" w14:textId="4FD084F4" w:rsidR="00CA01F6" w:rsidRPr="00462C0B" w:rsidRDefault="004C394E" w:rsidP="00397C33">
      <w:pPr>
        <w:pStyle w:val="ListParagraph"/>
        <w:numPr>
          <w:ilvl w:val="0"/>
          <w:numId w:val="24"/>
        </w:numPr>
        <w:spacing w:line="360" w:lineRule="auto"/>
        <w:rPr>
          <w:rFonts w:ascii="Times New Roman" w:eastAsia="Times New Roman" w:hAnsi="Times New Roman" w:cs="Times New Roman"/>
          <w:color w:val="000000" w:themeColor="text1"/>
          <w:sz w:val="24"/>
          <w:szCs w:val="24"/>
          <w:lang w:eastAsia="en-GB"/>
        </w:rPr>
      </w:pPr>
      <w:r w:rsidRPr="00462C0B">
        <w:rPr>
          <w:rFonts w:ascii="Times New Roman" w:eastAsia="Times New Roman" w:hAnsi="Times New Roman" w:cs="Times New Roman"/>
          <w:color w:val="000000" w:themeColor="text1"/>
          <w:sz w:val="24"/>
          <w:szCs w:val="24"/>
          <w:lang w:eastAsia="en-GB"/>
        </w:rPr>
        <w:t xml:space="preserve">What is known of </w:t>
      </w:r>
      <w:r w:rsidR="0027379C" w:rsidRPr="00462C0B">
        <w:rPr>
          <w:rFonts w:ascii="Times New Roman" w:eastAsia="Times New Roman" w:hAnsi="Times New Roman" w:cs="Times New Roman"/>
          <w:color w:val="000000" w:themeColor="text1"/>
          <w:sz w:val="24"/>
          <w:szCs w:val="24"/>
          <w:lang w:eastAsia="en-GB"/>
        </w:rPr>
        <w:t xml:space="preserve">how </w:t>
      </w:r>
      <w:r w:rsidR="00CA01F6" w:rsidRPr="00462C0B">
        <w:rPr>
          <w:rFonts w:ascii="Times New Roman" w:eastAsia="Times New Roman" w:hAnsi="Times New Roman" w:cs="Times New Roman"/>
          <w:color w:val="000000" w:themeColor="text1"/>
          <w:sz w:val="24"/>
          <w:szCs w:val="24"/>
          <w:lang w:eastAsia="en-GB"/>
        </w:rPr>
        <w:t xml:space="preserve">incentives and disincentives </w:t>
      </w:r>
      <w:r w:rsidR="0027379C" w:rsidRPr="00462C0B">
        <w:rPr>
          <w:rFonts w:ascii="Times New Roman" w:eastAsia="Times New Roman" w:hAnsi="Times New Roman" w:cs="Times New Roman"/>
          <w:color w:val="000000" w:themeColor="text1"/>
          <w:sz w:val="24"/>
          <w:szCs w:val="24"/>
          <w:lang w:eastAsia="en-GB"/>
        </w:rPr>
        <w:t xml:space="preserve">affect the decisions of </w:t>
      </w:r>
      <w:r w:rsidR="00CA01F6" w:rsidRPr="00462C0B">
        <w:rPr>
          <w:rFonts w:ascii="Times New Roman" w:eastAsia="Times New Roman" w:hAnsi="Times New Roman" w:cs="Times New Roman"/>
          <w:color w:val="000000" w:themeColor="text1"/>
          <w:sz w:val="24"/>
          <w:szCs w:val="24"/>
          <w:lang w:eastAsia="en-GB"/>
        </w:rPr>
        <w:t>land managers to participate in offset markets</w:t>
      </w:r>
      <w:r w:rsidRPr="00462C0B">
        <w:rPr>
          <w:rFonts w:ascii="Times New Roman" w:eastAsia="Times New Roman" w:hAnsi="Times New Roman" w:cs="Times New Roman"/>
          <w:color w:val="000000" w:themeColor="text1"/>
          <w:sz w:val="24"/>
          <w:szCs w:val="24"/>
          <w:lang w:eastAsia="en-GB"/>
        </w:rPr>
        <w:t>? Which</w:t>
      </w:r>
      <w:r w:rsidR="00CA01F6" w:rsidRPr="00462C0B">
        <w:rPr>
          <w:rFonts w:ascii="Times New Roman" w:eastAsia="Times New Roman" w:hAnsi="Times New Roman" w:cs="Times New Roman"/>
          <w:color w:val="000000" w:themeColor="text1"/>
          <w:sz w:val="24"/>
          <w:szCs w:val="24"/>
          <w:lang w:eastAsia="en-GB"/>
        </w:rPr>
        <w:t xml:space="preserve"> potential solutions </w:t>
      </w:r>
      <w:r w:rsidRPr="00462C0B">
        <w:rPr>
          <w:rFonts w:ascii="Times New Roman" w:eastAsia="Times New Roman" w:hAnsi="Times New Roman" w:cs="Times New Roman"/>
          <w:color w:val="000000" w:themeColor="text1"/>
          <w:sz w:val="24"/>
          <w:szCs w:val="24"/>
          <w:lang w:eastAsia="en-GB"/>
        </w:rPr>
        <w:t xml:space="preserve">have been </w:t>
      </w:r>
      <w:r w:rsidRPr="00462C0B">
        <w:rPr>
          <w:rFonts w:ascii="Times New Roman" w:eastAsia="Times New Roman" w:hAnsi="Times New Roman" w:cs="Times New Roman"/>
          <w:color w:val="000000" w:themeColor="text1"/>
          <w:sz w:val="24"/>
          <w:szCs w:val="24"/>
          <w:lang w:eastAsia="en-GB"/>
        </w:rPr>
        <w:lastRenderedPageBreak/>
        <w:t xml:space="preserve">suggested </w:t>
      </w:r>
      <w:r w:rsidR="00CA01F6" w:rsidRPr="00462C0B">
        <w:rPr>
          <w:rFonts w:ascii="Times New Roman" w:eastAsia="Times New Roman" w:hAnsi="Times New Roman" w:cs="Times New Roman"/>
          <w:color w:val="000000" w:themeColor="text1"/>
          <w:sz w:val="24"/>
          <w:szCs w:val="24"/>
          <w:lang w:eastAsia="en-GB"/>
        </w:rPr>
        <w:t>for increasing participation without jeopardising the fundamental objectives of the policy</w:t>
      </w:r>
      <w:r w:rsidRPr="00462C0B">
        <w:rPr>
          <w:rFonts w:ascii="Times New Roman" w:eastAsia="Times New Roman" w:hAnsi="Times New Roman" w:cs="Times New Roman"/>
          <w:color w:val="000000" w:themeColor="text1"/>
          <w:sz w:val="24"/>
          <w:szCs w:val="24"/>
          <w:lang w:eastAsia="en-GB"/>
        </w:rPr>
        <w:t>?</w:t>
      </w:r>
    </w:p>
    <w:p w14:paraId="3E4B187C" w14:textId="02854805" w:rsidR="009935B1" w:rsidRPr="00462C0B" w:rsidRDefault="009935B1" w:rsidP="00E55D59">
      <w:pPr>
        <w:pStyle w:val="Heading1"/>
      </w:pPr>
      <w:r w:rsidRPr="00462C0B">
        <w:t>Literature search strategy development</w:t>
      </w:r>
    </w:p>
    <w:p w14:paraId="30EDB76F" w14:textId="0A92ED66" w:rsidR="00A40B82" w:rsidRPr="00462C0B" w:rsidRDefault="004D3EEE" w:rsidP="00D000A0">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Our search strategy started with defining the </w:t>
      </w:r>
      <w:r w:rsidR="002967AB" w:rsidRPr="00462C0B">
        <w:rPr>
          <w:rFonts w:ascii="Times New Roman" w:hAnsi="Times New Roman" w:cs="Times New Roman"/>
          <w:sz w:val="24"/>
          <w:szCs w:val="24"/>
        </w:rPr>
        <w:t xml:space="preserve">individual terms </w:t>
      </w:r>
      <w:r w:rsidR="00793D97" w:rsidRPr="00462C0B">
        <w:rPr>
          <w:rFonts w:ascii="Times New Roman" w:hAnsi="Times New Roman" w:cs="Times New Roman"/>
          <w:sz w:val="24"/>
          <w:szCs w:val="24"/>
        </w:rPr>
        <w:t>associated with biodiversity offsetting</w:t>
      </w:r>
      <w:r w:rsidR="00925703" w:rsidRPr="00462C0B">
        <w:rPr>
          <w:rFonts w:ascii="Times New Roman" w:hAnsi="Times New Roman" w:cs="Times New Roman"/>
          <w:sz w:val="24"/>
          <w:szCs w:val="24"/>
        </w:rPr>
        <w:t xml:space="preserve"> </w:t>
      </w:r>
      <w:r w:rsidR="00846BB7" w:rsidRPr="00462C0B">
        <w:rPr>
          <w:rFonts w:ascii="Times New Roman" w:hAnsi="Times New Roman" w:cs="Times New Roman"/>
          <w:sz w:val="24"/>
          <w:szCs w:val="24"/>
        </w:rPr>
        <w:t xml:space="preserve">and biodiversity offset markets (Table 1). </w:t>
      </w:r>
      <w:r w:rsidR="000005DC" w:rsidRPr="00462C0B">
        <w:rPr>
          <w:rFonts w:ascii="Times New Roman" w:hAnsi="Times New Roman" w:cs="Times New Roman"/>
          <w:sz w:val="24"/>
          <w:szCs w:val="24"/>
        </w:rPr>
        <w:t xml:space="preserve">We also identified that biodiversity offsetting can encompass a wide range of mechanisms </w:t>
      </w:r>
      <w:r w:rsidRPr="00462C0B">
        <w:rPr>
          <w:rFonts w:ascii="Times New Roman" w:hAnsi="Times New Roman" w:cs="Times New Roman"/>
          <w:sz w:val="24"/>
          <w:szCs w:val="24"/>
        </w:rPr>
        <w:t>including compensatory mitigation, in-kind compensation, mitigation banking, habitat banking, species banking, and wetland banking (Lapeyre</w:t>
      </w:r>
      <w:r w:rsidR="00CD23E3" w:rsidRPr="00462C0B">
        <w:rPr>
          <w:rFonts w:ascii="Times New Roman" w:hAnsi="Times New Roman" w:cs="Times New Roman"/>
          <w:sz w:val="24"/>
          <w:szCs w:val="24"/>
        </w:rPr>
        <w:t xml:space="preserve"> </w:t>
      </w:r>
      <w:r w:rsidR="00CD23E3" w:rsidRPr="00462C0B">
        <w:rPr>
          <w:rFonts w:ascii="Times New Roman" w:hAnsi="Times New Roman" w:cs="Times New Roman"/>
          <w:i/>
          <w:iCs/>
          <w:sz w:val="24"/>
          <w:szCs w:val="24"/>
        </w:rPr>
        <w:t>et al.</w:t>
      </w:r>
      <w:r w:rsidR="00CD23E3" w:rsidRPr="00462C0B">
        <w:rPr>
          <w:rFonts w:ascii="Times New Roman" w:hAnsi="Times New Roman" w:cs="Times New Roman"/>
          <w:sz w:val="24"/>
          <w:szCs w:val="24"/>
        </w:rPr>
        <w:t xml:space="preserve"> </w:t>
      </w:r>
      <w:r w:rsidRPr="00462C0B">
        <w:rPr>
          <w:rFonts w:ascii="Times New Roman" w:hAnsi="Times New Roman" w:cs="Times New Roman"/>
          <w:sz w:val="24"/>
          <w:szCs w:val="24"/>
        </w:rPr>
        <w:t xml:space="preserve">2015). </w:t>
      </w:r>
      <w:r w:rsidR="000005DC" w:rsidRPr="00462C0B">
        <w:rPr>
          <w:rFonts w:ascii="Times New Roman" w:hAnsi="Times New Roman" w:cs="Times New Roman"/>
          <w:sz w:val="24"/>
          <w:szCs w:val="24"/>
        </w:rPr>
        <w:t xml:space="preserve">This is particularly evident when reviewing the early evidence of biodiversity offset markets in the USA </w:t>
      </w:r>
      <w:r w:rsidR="00534B83" w:rsidRPr="00462C0B">
        <w:rPr>
          <w:rFonts w:ascii="Times New Roman" w:hAnsi="Times New Roman" w:cs="Times New Roman"/>
          <w:sz w:val="24"/>
          <w:szCs w:val="24"/>
        </w:rPr>
        <w:t>(</w:t>
      </w:r>
      <w:r w:rsidR="000005DC" w:rsidRPr="00462C0B">
        <w:rPr>
          <w:rFonts w:ascii="Times New Roman" w:hAnsi="Times New Roman" w:cs="Times New Roman"/>
          <w:sz w:val="24"/>
          <w:szCs w:val="24"/>
        </w:rPr>
        <w:t xml:space="preserve">Wetland Mitigation Banking). </w:t>
      </w:r>
      <w:r w:rsidR="00634159" w:rsidRPr="00462C0B">
        <w:rPr>
          <w:rFonts w:ascii="Times New Roman" w:hAnsi="Times New Roman" w:cs="Times New Roman"/>
          <w:sz w:val="24"/>
          <w:szCs w:val="24"/>
        </w:rPr>
        <w:t>In our review</w:t>
      </w:r>
      <w:r w:rsidR="00A40B82" w:rsidRPr="00462C0B">
        <w:rPr>
          <w:rFonts w:ascii="Times New Roman" w:hAnsi="Times New Roman" w:cs="Times New Roman"/>
          <w:sz w:val="24"/>
          <w:szCs w:val="24"/>
        </w:rPr>
        <w:t>,</w:t>
      </w:r>
      <w:r w:rsidR="00634159" w:rsidRPr="00462C0B">
        <w:rPr>
          <w:rFonts w:ascii="Times New Roman" w:hAnsi="Times New Roman" w:cs="Times New Roman"/>
          <w:sz w:val="24"/>
          <w:szCs w:val="24"/>
        </w:rPr>
        <w:t xml:space="preserve"> we focus specifically </w:t>
      </w:r>
      <w:r w:rsidR="00A40B82" w:rsidRPr="00462C0B">
        <w:rPr>
          <w:rFonts w:ascii="Times New Roman" w:hAnsi="Times New Roman" w:cs="Times New Roman"/>
          <w:sz w:val="24"/>
          <w:szCs w:val="24"/>
        </w:rPr>
        <w:t xml:space="preserve">on </w:t>
      </w:r>
      <w:r w:rsidR="00C421D1" w:rsidRPr="00462C0B">
        <w:rPr>
          <w:rFonts w:ascii="Times New Roman" w:hAnsi="Times New Roman" w:cs="Times New Roman"/>
          <w:sz w:val="24"/>
          <w:szCs w:val="24"/>
        </w:rPr>
        <w:t>mitigation banking, wetland banking and biodiversity offset markets.</w:t>
      </w:r>
    </w:p>
    <w:p w14:paraId="5789CDFC" w14:textId="2A69621A" w:rsidR="005E621F" w:rsidRPr="00462C0B" w:rsidRDefault="005E621F" w:rsidP="002D5BE6">
      <w:pPr>
        <w:spacing w:line="360" w:lineRule="auto"/>
        <w:jc w:val="both"/>
        <w:rPr>
          <w:rFonts w:ascii="Times New Roman" w:hAnsi="Times New Roman" w:cs="Times New Roman"/>
          <w:sz w:val="24"/>
          <w:szCs w:val="24"/>
        </w:rPr>
      </w:pPr>
      <w:r w:rsidRPr="00462C0B">
        <w:rPr>
          <w:rFonts w:ascii="Times New Roman" w:hAnsi="Times New Roman" w:cs="Times New Roman"/>
          <w:b/>
          <w:bCs/>
          <w:sz w:val="24"/>
          <w:szCs w:val="24"/>
        </w:rPr>
        <w:t>Table 1: Definition of key terms</w:t>
      </w:r>
      <w:r w:rsidR="008D54A6" w:rsidRPr="00462C0B">
        <w:rPr>
          <w:rFonts w:ascii="Times New Roman" w:hAnsi="Times New Roman" w:cs="Times New Roman"/>
          <w:b/>
          <w:bCs/>
          <w:sz w:val="24"/>
          <w:szCs w:val="24"/>
        </w:rPr>
        <w:t xml:space="preserve"> in </w:t>
      </w:r>
      <w:r w:rsidR="00C43DDA" w:rsidRPr="00462C0B">
        <w:rPr>
          <w:rFonts w:ascii="Times New Roman" w:hAnsi="Times New Roman" w:cs="Times New Roman"/>
          <w:b/>
          <w:bCs/>
          <w:sz w:val="24"/>
          <w:szCs w:val="24"/>
        </w:rPr>
        <w:t xml:space="preserve">payment for results </w:t>
      </w:r>
      <w:r w:rsidR="008D54A6" w:rsidRPr="00462C0B">
        <w:rPr>
          <w:rFonts w:ascii="Times New Roman" w:hAnsi="Times New Roman" w:cs="Times New Roman"/>
          <w:b/>
          <w:bCs/>
          <w:sz w:val="24"/>
          <w:szCs w:val="24"/>
        </w:rPr>
        <w:t xml:space="preserve">agri-environment </w:t>
      </w:r>
      <w:r w:rsidR="00C43DDA" w:rsidRPr="00462C0B">
        <w:rPr>
          <w:rFonts w:ascii="Times New Roman" w:hAnsi="Times New Roman" w:cs="Times New Roman"/>
          <w:b/>
          <w:bCs/>
          <w:sz w:val="24"/>
          <w:szCs w:val="24"/>
        </w:rPr>
        <w:t xml:space="preserve">schemes </w:t>
      </w:r>
      <w:r w:rsidR="008D54A6" w:rsidRPr="00462C0B">
        <w:rPr>
          <w:rFonts w:ascii="Times New Roman" w:hAnsi="Times New Roman" w:cs="Times New Roman"/>
          <w:b/>
          <w:bCs/>
          <w:sz w:val="24"/>
          <w:szCs w:val="24"/>
        </w:rPr>
        <w:t>context</w:t>
      </w:r>
    </w:p>
    <w:tbl>
      <w:tblPr>
        <w:tblStyle w:val="TableGrid"/>
        <w:tblW w:w="988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5665"/>
        <w:gridCol w:w="2229"/>
      </w:tblGrid>
      <w:tr w:rsidR="007211CB" w:rsidRPr="00462C0B" w14:paraId="6AA64156" w14:textId="77777777" w:rsidTr="00C43DDA">
        <w:trPr>
          <w:trHeight w:val="401"/>
        </w:trPr>
        <w:tc>
          <w:tcPr>
            <w:tcW w:w="1990" w:type="dxa"/>
            <w:tcBorders>
              <w:top w:val="single" w:sz="4" w:space="0" w:color="auto"/>
              <w:bottom w:val="single" w:sz="4" w:space="0" w:color="auto"/>
            </w:tcBorders>
          </w:tcPr>
          <w:p w14:paraId="29A9805D" w14:textId="7996C44D" w:rsidR="007211CB" w:rsidRPr="00462C0B" w:rsidRDefault="007211CB" w:rsidP="002D5BE6">
            <w:pPr>
              <w:spacing w:line="360" w:lineRule="auto"/>
              <w:jc w:val="both"/>
              <w:rPr>
                <w:rFonts w:ascii="Times New Roman" w:hAnsi="Times New Roman" w:cs="Times New Roman"/>
                <w:b/>
                <w:bCs/>
                <w:sz w:val="24"/>
                <w:szCs w:val="24"/>
              </w:rPr>
            </w:pPr>
            <w:r w:rsidRPr="00462C0B">
              <w:rPr>
                <w:rFonts w:ascii="Times New Roman" w:hAnsi="Times New Roman" w:cs="Times New Roman"/>
                <w:b/>
                <w:bCs/>
                <w:sz w:val="24"/>
                <w:szCs w:val="24"/>
              </w:rPr>
              <w:t>Term</w:t>
            </w:r>
          </w:p>
        </w:tc>
        <w:tc>
          <w:tcPr>
            <w:tcW w:w="5665" w:type="dxa"/>
            <w:tcBorders>
              <w:top w:val="single" w:sz="4" w:space="0" w:color="auto"/>
              <w:bottom w:val="single" w:sz="4" w:space="0" w:color="auto"/>
            </w:tcBorders>
          </w:tcPr>
          <w:p w14:paraId="66AE42E1" w14:textId="5B766049" w:rsidR="007211CB" w:rsidRPr="00462C0B" w:rsidRDefault="007211CB" w:rsidP="002D5BE6">
            <w:pPr>
              <w:spacing w:line="360" w:lineRule="auto"/>
              <w:jc w:val="center"/>
              <w:rPr>
                <w:rFonts w:ascii="Times New Roman" w:hAnsi="Times New Roman" w:cs="Times New Roman"/>
                <w:b/>
                <w:bCs/>
                <w:sz w:val="24"/>
                <w:szCs w:val="24"/>
              </w:rPr>
            </w:pPr>
            <w:r w:rsidRPr="00462C0B">
              <w:rPr>
                <w:rFonts w:ascii="Times New Roman" w:hAnsi="Times New Roman" w:cs="Times New Roman"/>
                <w:b/>
                <w:bCs/>
                <w:sz w:val="24"/>
                <w:szCs w:val="24"/>
              </w:rPr>
              <w:t>Definition</w:t>
            </w:r>
          </w:p>
        </w:tc>
        <w:tc>
          <w:tcPr>
            <w:tcW w:w="2229" w:type="dxa"/>
            <w:tcBorders>
              <w:top w:val="single" w:sz="4" w:space="0" w:color="auto"/>
              <w:bottom w:val="single" w:sz="4" w:space="0" w:color="auto"/>
            </w:tcBorders>
          </w:tcPr>
          <w:p w14:paraId="46489C70" w14:textId="72D77478" w:rsidR="007211CB" w:rsidRPr="00462C0B" w:rsidRDefault="007211CB" w:rsidP="002D5BE6">
            <w:pPr>
              <w:spacing w:line="360" w:lineRule="auto"/>
              <w:jc w:val="center"/>
              <w:rPr>
                <w:rFonts w:ascii="Times New Roman" w:hAnsi="Times New Roman" w:cs="Times New Roman"/>
                <w:b/>
                <w:bCs/>
                <w:sz w:val="24"/>
                <w:szCs w:val="24"/>
              </w:rPr>
            </w:pPr>
            <w:r w:rsidRPr="00462C0B">
              <w:rPr>
                <w:rFonts w:ascii="Times New Roman" w:hAnsi="Times New Roman" w:cs="Times New Roman"/>
                <w:b/>
                <w:bCs/>
                <w:sz w:val="24"/>
                <w:szCs w:val="24"/>
              </w:rPr>
              <w:t>Source (s)</w:t>
            </w:r>
          </w:p>
        </w:tc>
      </w:tr>
      <w:tr w:rsidR="007211CB" w:rsidRPr="00462C0B" w14:paraId="497EAAF8" w14:textId="77777777" w:rsidTr="00C43DDA">
        <w:trPr>
          <w:trHeight w:val="1581"/>
        </w:trPr>
        <w:tc>
          <w:tcPr>
            <w:tcW w:w="1990" w:type="dxa"/>
            <w:tcBorders>
              <w:top w:val="single" w:sz="4" w:space="0" w:color="auto"/>
            </w:tcBorders>
          </w:tcPr>
          <w:p w14:paraId="0725797B" w14:textId="539ABBD2" w:rsidR="007211CB" w:rsidRPr="00462C0B" w:rsidRDefault="007E351D" w:rsidP="002D5BE6">
            <w:pPr>
              <w:spacing w:line="360" w:lineRule="auto"/>
              <w:jc w:val="both"/>
              <w:rPr>
                <w:rFonts w:ascii="Times New Roman" w:hAnsi="Times New Roman" w:cs="Times New Roman"/>
                <w:sz w:val="24"/>
                <w:szCs w:val="24"/>
              </w:rPr>
            </w:pPr>
            <w:r w:rsidRPr="00462C0B">
              <w:rPr>
                <w:rFonts w:ascii="Times New Roman" w:hAnsi="Times New Roman" w:cs="Times New Roman"/>
                <w:sz w:val="24"/>
                <w:szCs w:val="24"/>
              </w:rPr>
              <w:t xml:space="preserve">Biodiversity offsetting </w:t>
            </w:r>
          </w:p>
        </w:tc>
        <w:tc>
          <w:tcPr>
            <w:tcW w:w="5665" w:type="dxa"/>
            <w:tcBorders>
              <w:top w:val="single" w:sz="4" w:space="0" w:color="auto"/>
            </w:tcBorders>
          </w:tcPr>
          <w:p w14:paraId="43B2131D" w14:textId="177CB7BC" w:rsidR="007211CB" w:rsidRPr="00462C0B" w:rsidRDefault="004A4434" w:rsidP="002D5BE6">
            <w:pPr>
              <w:spacing w:line="360" w:lineRule="auto"/>
              <w:jc w:val="both"/>
              <w:rPr>
                <w:rFonts w:ascii="Times New Roman" w:hAnsi="Times New Roman" w:cs="Times New Roman"/>
                <w:sz w:val="24"/>
                <w:szCs w:val="24"/>
              </w:rPr>
            </w:pPr>
            <w:r w:rsidRPr="00462C0B">
              <w:rPr>
                <w:rFonts w:ascii="Times New Roman" w:hAnsi="Times New Roman" w:cs="Times New Roman"/>
                <w:sz w:val="24"/>
                <w:szCs w:val="24"/>
              </w:rPr>
              <w:t>Biodiversity offsets provide measurable conservation gains to compensate for significant, residual impacts on biodiversity due to new development activities.</w:t>
            </w:r>
          </w:p>
        </w:tc>
        <w:tc>
          <w:tcPr>
            <w:tcW w:w="2229" w:type="dxa"/>
            <w:tcBorders>
              <w:top w:val="single" w:sz="4" w:space="0" w:color="auto"/>
            </w:tcBorders>
          </w:tcPr>
          <w:p w14:paraId="2194188D" w14:textId="7708D6C6" w:rsidR="00A61149" w:rsidRPr="00462C0B" w:rsidRDefault="004A4434" w:rsidP="002D5BE6">
            <w:pPr>
              <w:spacing w:line="360" w:lineRule="auto"/>
              <w:jc w:val="center"/>
              <w:rPr>
                <w:rFonts w:ascii="Times New Roman" w:hAnsi="Times New Roman" w:cs="Times New Roman"/>
                <w:sz w:val="24"/>
                <w:szCs w:val="24"/>
              </w:rPr>
            </w:pPr>
            <w:r w:rsidRPr="00462C0B">
              <w:rPr>
                <w:rFonts w:ascii="Times New Roman" w:hAnsi="Times New Roman" w:cs="Times New Roman"/>
                <w:sz w:val="24"/>
                <w:szCs w:val="24"/>
              </w:rPr>
              <w:t xml:space="preserve">BBOP </w:t>
            </w:r>
            <w:r w:rsidR="00F70B41" w:rsidRPr="00462C0B">
              <w:rPr>
                <w:rFonts w:ascii="Times New Roman" w:hAnsi="Times New Roman" w:cs="Times New Roman"/>
                <w:sz w:val="24"/>
                <w:szCs w:val="24"/>
              </w:rPr>
              <w:t>(</w:t>
            </w:r>
            <w:r w:rsidRPr="00462C0B">
              <w:rPr>
                <w:rFonts w:ascii="Times New Roman" w:hAnsi="Times New Roman" w:cs="Times New Roman"/>
                <w:sz w:val="24"/>
                <w:szCs w:val="24"/>
              </w:rPr>
              <w:t>2009</w:t>
            </w:r>
            <w:r w:rsidR="00F70B41" w:rsidRPr="00462C0B">
              <w:rPr>
                <w:rFonts w:ascii="Times New Roman" w:hAnsi="Times New Roman" w:cs="Times New Roman"/>
                <w:sz w:val="24"/>
                <w:szCs w:val="24"/>
              </w:rPr>
              <w:t>)</w:t>
            </w:r>
          </w:p>
        </w:tc>
      </w:tr>
      <w:tr w:rsidR="0083774F" w:rsidRPr="00462C0B" w14:paraId="7AD077B1" w14:textId="77777777" w:rsidTr="002D481E">
        <w:trPr>
          <w:trHeight w:val="1581"/>
        </w:trPr>
        <w:tc>
          <w:tcPr>
            <w:tcW w:w="1990" w:type="dxa"/>
            <w:tcBorders>
              <w:top w:val="single" w:sz="4" w:space="0" w:color="auto"/>
            </w:tcBorders>
          </w:tcPr>
          <w:p w14:paraId="2BF3CF89" w14:textId="1DCC6776" w:rsidR="0083774F" w:rsidRPr="00462C0B" w:rsidRDefault="0083774F" w:rsidP="0083774F">
            <w:pPr>
              <w:spacing w:line="360" w:lineRule="auto"/>
              <w:rPr>
                <w:rFonts w:ascii="Times New Roman" w:hAnsi="Times New Roman" w:cs="Times New Roman"/>
                <w:sz w:val="24"/>
                <w:szCs w:val="24"/>
              </w:rPr>
            </w:pPr>
            <w:r w:rsidRPr="00462C0B">
              <w:rPr>
                <w:rFonts w:ascii="Times New Roman" w:hAnsi="Times New Roman" w:cs="Times New Roman"/>
                <w:sz w:val="24"/>
                <w:szCs w:val="24"/>
              </w:rPr>
              <w:t>Market</w:t>
            </w:r>
            <w:r w:rsidR="00A40B82" w:rsidRPr="00462C0B">
              <w:rPr>
                <w:rFonts w:ascii="Times New Roman" w:hAnsi="Times New Roman" w:cs="Times New Roman"/>
                <w:sz w:val="24"/>
                <w:szCs w:val="24"/>
              </w:rPr>
              <w:t>-</w:t>
            </w:r>
            <w:r w:rsidRPr="00462C0B">
              <w:rPr>
                <w:rFonts w:ascii="Times New Roman" w:hAnsi="Times New Roman" w:cs="Times New Roman"/>
                <w:sz w:val="24"/>
                <w:szCs w:val="24"/>
              </w:rPr>
              <w:t>based instrument</w:t>
            </w:r>
          </w:p>
        </w:tc>
        <w:tc>
          <w:tcPr>
            <w:tcW w:w="5665" w:type="dxa"/>
            <w:tcBorders>
              <w:top w:val="single" w:sz="4" w:space="0" w:color="auto"/>
            </w:tcBorders>
            <w:vAlign w:val="center"/>
          </w:tcPr>
          <w:p w14:paraId="436D86AC" w14:textId="098F7052" w:rsidR="0083774F" w:rsidRPr="00462C0B" w:rsidRDefault="002D481E" w:rsidP="002D481E">
            <w:pPr>
              <w:spacing w:line="360" w:lineRule="auto"/>
              <w:rPr>
                <w:rFonts w:ascii="Times New Roman" w:hAnsi="Times New Roman" w:cs="Times New Roman"/>
                <w:sz w:val="24"/>
                <w:szCs w:val="24"/>
              </w:rPr>
            </w:pPr>
            <w:r w:rsidRPr="00462C0B">
              <w:rPr>
                <w:rFonts w:ascii="Times New Roman" w:hAnsi="Times New Roman" w:cs="Times New Roman"/>
                <w:sz w:val="24"/>
                <w:szCs w:val="24"/>
              </w:rPr>
              <w:t>Market-based instruments seek to address the market failure of 'environmental externalities' either by incorporating the external cost of production or consumption activities through taxes or charges on processes or products, or by creating property rights and facilitating the establishment of a proxy market for the use of environmental services.</w:t>
            </w:r>
          </w:p>
        </w:tc>
        <w:tc>
          <w:tcPr>
            <w:tcW w:w="2229" w:type="dxa"/>
            <w:tcBorders>
              <w:top w:val="single" w:sz="4" w:space="0" w:color="auto"/>
            </w:tcBorders>
          </w:tcPr>
          <w:p w14:paraId="5BD44E66" w14:textId="2CCA63E8" w:rsidR="0083774F" w:rsidRPr="00462C0B" w:rsidRDefault="00691A30" w:rsidP="002D5BE6">
            <w:pPr>
              <w:spacing w:line="360" w:lineRule="auto"/>
              <w:jc w:val="center"/>
              <w:rPr>
                <w:rFonts w:ascii="Times New Roman" w:hAnsi="Times New Roman" w:cs="Times New Roman"/>
                <w:sz w:val="24"/>
                <w:szCs w:val="24"/>
              </w:rPr>
            </w:pPr>
            <w:r w:rsidRPr="00462C0B">
              <w:rPr>
                <w:rFonts w:ascii="Times New Roman" w:hAnsi="Times New Roman" w:cs="Times New Roman"/>
                <w:sz w:val="24"/>
                <w:szCs w:val="24"/>
              </w:rPr>
              <w:t>OECD (2007)</w:t>
            </w:r>
          </w:p>
        </w:tc>
      </w:tr>
      <w:tr w:rsidR="007211CB" w:rsidRPr="00462C0B" w14:paraId="38F512E9" w14:textId="77777777" w:rsidTr="00C43DDA">
        <w:trPr>
          <w:trHeight w:val="401"/>
        </w:trPr>
        <w:tc>
          <w:tcPr>
            <w:tcW w:w="1990" w:type="dxa"/>
          </w:tcPr>
          <w:p w14:paraId="1B71CC74" w14:textId="49B2C1EC" w:rsidR="007211CB" w:rsidRPr="00462C0B" w:rsidRDefault="007E351D" w:rsidP="002D5BE6">
            <w:pPr>
              <w:spacing w:line="360" w:lineRule="auto"/>
              <w:jc w:val="both"/>
              <w:rPr>
                <w:rFonts w:ascii="Times New Roman" w:hAnsi="Times New Roman" w:cs="Times New Roman"/>
                <w:sz w:val="24"/>
                <w:szCs w:val="24"/>
              </w:rPr>
            </w:pPr>
            <w:r w:rsidRPr="00462C0B">
              <w:rPr>
                <w:rFonts w:ascii="Times New Roman" w:hAnsi="Times New Roman" w:cs="Times New Roman"/>
                <w:sz w:val="24"/>
                <w:szCs w:val="24"/>
              </w:rPr>
              <w:t>Biodiversity offset markets</w:t>
            </w:r>
          </w:p>
        </w:tc>
        <w:tc>
          <w:tcPr>
            <w:tcW w:w="5665" w:type="dxa"/>
          </w:tcPr>
          <w:p w14:paraId="77BD483E" w14:textId="0EBD964D" w:rsidR="007211CB" w:rsidRPr="00462C0B" w:rsidRDefault="001464E7" w:rsidP="002D5BE6">
            <w:pPr>
              <w:spacing w:line="360" w:lineRule="auto"/>
              <w:jc w:val="both"/>
              <w:rPr>
                <w:rFonts w:ascii="Times New Roman" w:hAnsi="Times New Roman" w:cs="Times New Roman"/>
                <w:sz w:val="24"/>
                <w:szCs w:val="24"/>
              </w:rPr>
            </w:pPr>
            <w:r w:rsidRPr="00462C0B">
              <w:rPr>
                <w:rFonts w:ascii="Times New Roman" w:hAnsi="Times New Roman" w:cs="Times New Roman"/>
                <w:sz w:val="24"/>
                <w:szCs w:val="24"/>
              </w:rPr>
              <w:t xml:space="preserve">Biodiversity offset markets are created when multiple buyers and sellers of offset credits interact with others through a trading process, typically moderated by an offset bank or regulator </w:t>
            </w:r>
          </w:p>
        </w:tc>
        <w:tc>
          <w:tcPr>
            <w:tcW w:w="2229" w:type="dxa"/>
          </w:tcPr>
          <w:p w14:paraId="33896504" w14:textId="7D3FD283" w:rsidR="005E621F" w:rsidRPr="00462C0B" w:rsidRDefault="00AC4B5E" w:rsidP="002D5BE6">
            <w:pPr>
              <w:spacing w:line="360" w:lineRule="auto"/>
              <w:jc w:val="center"/>
              <w:rPr>
                <w:rFonts w:ascii="Times New Roman" w:hAnsi="Times New Roman" w:cs="Times New Roman"/>
                <w:sz w:val="24"/>
                <w:szCs w:val="24"/>
              </w:rPr>
            </w:pPr>
            <w:r w:rsidRPr="00462C0B">
              <w:rPr>
                <w:rFonts w:ascii="Times New Roman" w:hAnsi="Times New Roman" w:cs="Times New Roman"/>
                <w:sz w:val="24"/>
                <w:szCs w:val="24"/>
              </w:rPr>
              <w:t xml:space="preserve">Needham </w:t>
            </w:r>
            <w:r w:rsidRPr="00462C0B">
              <w:rPr>
                <w:rFonts w:ascii="Times New Roman" w:hAnsi="Times New Roman" w:cs="Times New Roman"/>
                <w:i/>
                <w:iCs/>
                <w:sz w:val="24"/>
                <w:szCs w:val="24"/>
              </w:rPr>
              <w:t>et al.</w:t>
            </w:r>
            <w:r w:rsidRPr="00462C0B">
              <w:rPr>
                <w:rFonts w:ascii="Times New Roman" w:hAnsi="Times New Roman" w:cs="Times New Roman"/>
                <w:sz w:val="24"/>
                <w:szCs w:val="24"/>
              </w:rPr>
              <w:t xml:space="preserve"> </w:t>
            </w:r>
            <w:r w:rsidR="00F70B41" w:rsidRPr="00462C0B">
              <w:rPr>
                <w:rFonts w:ascii="Times New Roman" w:hAnsi="Times New Roman" w:cs="Times New Roman"/>
                <w:sz w:val="24"/>
                <w:szCs w:val="24"/>
              </w:rPr>
              <w:t>(</w:t>
            </w:r>
            <w:r w:rsidRPr="00462C0B">
              <w:rPr>
                <w:rFonts w:ascii="Times New Roman" w:hAnsi="Times New Roman" w:cs="Times New Roman"/>
                <w:sz w:val="24"/>
                <w:szCs w:val="24"/>
              </w:rPr>
              <w:t>20</w:t>
            </w:r>
            <w:r w:rsidR="00A008E1" w:rsidRPr="00462C0B">
              <w:rPr>
                <w:rFonts w:ascii="Times New Roman" w:hAnsi="Times New Roman" w:cs="Times New Roman"/>
                <w:sz w:val="24"/>
                <w:szCs w:val="24"/>
              </w:rPr>
              <w:t>19</w:t>
            </w:r>
            <w:r w:rsidR="00F70B41" w:rsidRPr="00462C0B">
              <w:rPr>
                <w:rFonts w:ascii="Times New Roman" w:hAnsi="Times New Roman" w:cs="Times New Roman"/>
                <w:sz w:val="24"/>
                <w:szCs w:val="24"/>
              </w:rPr>
              <w:t>)</w:t>
            </w:r>
          </w:p>
        </w:tc>
      </w:tr>
      <w:tr w:rsidR="007211CB" w:rsidRPr="00462C0B" w14:paraId="772DEF51" w14:textId="77777777" w:rsidTr="007E351D">
        <w:trPr>
          <w:trHeight w:val="1692"/>
        </w:trPr>
        <w:tc>
          <w:tcPr>
            <w:tcW w:w="1990" w:type="dxa"/>
          </w:tcPr>
          <w:p w14:paraId="2CE340EC" w14:textId="6A7B7389" w:rsidR="007211CB" w:rsidRPr="00462C0B" w:rsidRDefault="007E351D" w:rsidP="002D5BE6">
            <w:pPr>
              <w:spacing w:line="360" w:lineRule="auto"/>
              <w:jc w:val="both"/>
              <w:rPr>
                <w:rFonts w:ascii="Times New Roman" w:hAnsi="Times New Roman" w:cs="Times New Roman"/>
                <w:sz w:val="24"/>
                <w:szCs w:val="24"/>
              </w:rPr>
            </w:pPr>
            <w:r w:rsidRPr="00462C0B">
              <w:rPr>
                <w:rFonts w:ascii="Times New Roman" w:hAnsi="Times New Roman" w:cs="Times New Roman"/>
                <w:sz w:val="24"/>
                <w:szCs w:val="24"/>
              </w:rPr>
              <w:lastRenderedPageBreak/>
              <w:t>No net loss</w:t>
            </w:r>
          </w:p>
        </w:tc>
        <w:tc>
          <w:tcPr>
            <w:tcW w:w="5665" w:type="dxa"/>
          </w:tcPr>
          <w:p w14:paraId="253E7421" w14:textId="7BB1BE47" w:rsidR="007211CB" w:rsidRPr="00462C0B" w:rsidRDefault="006C7A1A" w:rsidP="002D5BE6">
            <w:pPr>
              <w:spacing w:line="360" w:lineRule="auto"/>
              <w:jc w:val="both"/>
              <w:rPr>
                <w:rFonts w:ascii="Times New Roman" w:hAnsi="Times New Roman" w:cs="Times New Roman"/>
                <w:sz w:val="24"/>
                <w:szCs w:val="24"/>
              </w:rPr>
            </w:pPr>
            <w:r w:rsidRPr="00462C0B">
              <w:rPr>
                <w:rFonts w:ascii="Times New Roman" w:hAnsi="Times New Roman" w:cs="Times New Roman"/>
                <w:sz w:val="24"/>
                <w:szCs w:val="24"/>
              </w:rPr>
              <w:t>NNL policies are based on the principle that biodiversity is as a minimum left no worse off after development than before.</w:t>
            </w:r>
          </w:p>
        </w:tc>
        <w:tc>
          <w:tcPr>
            <w:tcW w:w="2229" w:type="dxa"/>
          </w:tcPr>
          <w:p w14:paraId="67F9DA05" w14:textId="48622AA8" w:rsidR="007211CB" w:rsidRPr="00462C0B" w:rsidRDefault="00E4308E" w:rsidP="002D5BE6">
            <w:pPr>
              <w:spacing w:line="360" w:lineRule="auto"/>
              <w:jc w:val="center"/>
              <w:rPr>
                <w:rFonts w:ascii="Times New Roman" w:hAnsi="Times New Roman" w:cs="Times New Roman"/>
                <w:sz w:val="24"/>
                <w:szCs w:val="24"/>
              </w:rPr>
            </w:pPr>
            <w:r w:rsidRPr="00462C0B">
              <w:rPr>
                <w:rFonts w:ascii="Times New Roman" w:hAnsi="Times New Roman" w:cs="Times New Roman"/>
                <w:sz w:val="24"/>
                <w:szCs w:val="24"/>
              </w:rPr>
              <w:t xml:space="preserve">zu Ermgassen </w:t>
            </w:r>
            <w:r w:rsidRPr="00462C0B">
              <w:rPr>
                <w:rFonts w:ascii="Times New Roman" w:hAnsi="Times New Roman" w:cs="Times New Roman"/>
                <w:i/>
                <w:iCs/>
                <w:sz w:val="24"/>
                <w:szCs w:val="24"/>
              </w:rPr>
              <w:t>et al.</w:t>
            </w:r>
            <w:r w:rsidRPr="00462C0B">
              <w:rPr>
                <w:rFonts w:ascii="Times New Roman" w:hAnsi="Times New Roman" w:cs="Times New Roman"/>
                <w:sz w:val="24"/>
                <w:szCs w:val="24"/>
              </w:rPr>
              <w:t xml:space="preserve"> </w:t>
            </w:r>
            <w:r w:rsidR="00F70B41" w:rsidRPr="00462C0B">
              <w:rPr>
                <w:rFonts w:ascii="Times New Roman" w:hAnsi="Times New Roman" w:cs="Times New Roman"/>
                <w:sz w:val="24"/>
                <w:szCs w:val="24"/>
              </w:rPr>
              <w:t>(</w:t>
            </w:r>
            <w:r w:rsidRPr="00462C0B">
              <w:rPr>
                <w:rFonts w:ascii="Times New Roman" w:hAnsi="Times New Roman" w:cs="Times New Roman"/>
                <w:sz w:val="24"/>
                <w:szCs w:val="24"/>
              </w:rPr>
              <w:t>2019</w:t>
            </w:r>
            <w:r w:rsidR="00F70B41" w:rsidRPr="00462C0B">
              <w:rPr>
                <w:rFonts w:ascii="Times New Roman" w:hAnsi="Times New Roman" w:cs="Times New Roman"/>
                <w:sz w:val="24"/>
                <w:szCs w:val="24"/>
              </w:rPr>
              <w:t>)</w:t>
            </w:r>
          </w:p>
        </w:tc>
      </w:tr>
      <w:tr w:rsidR="007E351D" w:rsidRPr="00462C0B" w14:paraId="3CE17C38" w14:textId="77777777" w:rsidTr="00C43DDA">
        <w:trPr>
          <w:trHeight w:val="1692"/>
        </w:trPr>
        <w:tc>
          <w:tcPr>
            <w:tcW w:w="1990" w:type="dxa"/>
            <w:tcBorders>
              <w:bottom w:val="single" w:sz="4" w:space="0" w:color="auto"/>
            </w:tcBorders>
          </w:tcPr>
          <w:p w14:paraId="6C2AC186" w14:textId="368947F2" w:rsidR="007E351D" w:rsidRPr="00462C0B" w:rsidRDefault="007E351D" w:rsidP="002D5BE6">
            <w:pPr>
              <w:spacing w:line="360" w:lineRule="auto"/>
              <w:jc w:val="both"/>
              <w:rPr>
                <w:rFonts w:ascii="Times New Roman" w:hAnsi="Times New Roman" w:cs="Times New Roman"/>
                <w:sz w:val="24"/>
                <w:szCs w:val="24"/>
              </w:rPr>
            </w:pPr>
            <w:r w:rsidRPr="00462C0B">
              <w:rPr>
                <w:rFonts w:ascii="Times New Roman" w:hAnsi="Times New Roman" w:cs="Times New Roman"/>
                <w:sz w:val="24"/>
                <w:szCs w:val="24"/>
              </w:rPr>
              <w:t>Net gain</w:t>
            </w:r>
          </w:p>
        </w:tc>
        <w:tc>
          <w:tcPr>
            <w:tcW w:w="5665" w:type="dxa"/>
            <w:tcBorders>
              <w:bottom w:val="single" w:sz="4" w:space="0" w:color="auto"/>
            </w:tcBorders>
          </w:tcPr>
          <w:p w14:paraId="3F4F12F0" w14:textId="3E71087F" w:rsidR="007E351D" w:rsidRPr="00462C0B" w:rsidRDefault="00AE3353" w:rsidP="00AE3353">
            <w:pPr>
              <w:spacing w:line="360" w:lineRule="auto"/>
              <w:rPr>
                <w:rFonts w:ascii="Times New Roman" w:hAnsi="Times New Roman" w:cs="Times New Roman"/>
                <w:sz w:val="24"/>
                <w:szCs w:val="24"/>
              </w:rPr>
            </w:pPr>
            <w:r w:rsidRPr="00462C0B">
              <w:rPr>
                <w:rFonts w:ascii="Times New Roman" w:hAnsi="Times New Roman" w:cs="Times New Roman"/>
                <w:sz w:val="24"/>
                <w:szCs w:val="24"/>
              </w:rPr>
              <w:t>To achieve Net Gain, the biodiversity status quo must be improved, either by overcompensating for loss in the biodiversity values affected or by ensuring no net loss in those values and then providing additional gains in other biodiversity values.</w:t>
            </w:r>
          </w:p>
        </w:tc>
        <w:tc>
          <w:tcPr>
            <w:tcW w:w="2229" w:type="dxa"/>
            <w:tcBorders>
              <w:bottom w:val="single" w:sz="4" w:space="0" w:color="auto"/>
            </w:tcBorders>
          </w:tcPr>
          <w:p w14:paraId="57965255" w14:textId="13172EE0" w:rsidR="007E351D" w:rsidRPr="00462C0B" w:rsidRDefault="00F70B41" w:rsidP="002D5BE6">
            <w:pPr>
              <w:spacing w:line="360" w:lineRule="auto"/>
              <w:jc w:val="center"/>
              <w:rPr>
                <w:rFonts w:ascii="Times New Roman" w:hAnsi="Times New Roman" w:cs="Times New Roman"/>
                <w:sz w:val="24"/>
                <w:szCs w:val="24"/>
              </w:rPr>
            </w:pPr>
            <w:r w:rsidRPr="00462C0B">
              <w:rPr>
                <w:rFonts w:ascii="Times New Roman" w:hAnsi="Times New Roman" w:cs="Times New Roman"/>
                <w:sz w:val="24"/>
                <w:szCs w:val="24"/>
              </w:rPr>
              <w:t>Bull and Brownlie (2017)</w:t>
            </w:r>
          </w:p>
        </w:tc>
      </w:tr>
    </w:tbl>
    <w:p w14:paraId="17C35BB1" w14:textId="427AB47A" w:rsidR="00104E37" w:rsidRPr="00462C0B" w:rsidRDefault="00104E37" w:rsidP="002D5BE6">
      <w:pPr>
        <w:spacing w:line="360" w:lineRule="auto"/>
        <w:jc w:val="both"/>
        <w:rPr>
          <w:rFonts w:ascii="Times New Roman" w:hAnsi="Times New Roman" w:cs="Times New Roman"/>
          <w:sz w:val="24"/>
          <w:szCs w:val="24"/>
        </w:rPr>
      </w:pPr>
    </w:p>
    <w:p w14:paraId="786A7E97" w14:textId="77777777" w:rsidR="00AA428D" w:rsidRPr="00462C0B" w:rsidRDefault="00AA428D" w:rsidP="002D5BE6">
      <w:pPr>
        <w:spacing w:line="360" w:lineRule="auto"/>
        <w:jc w:val="both"/>
        <w:rPr>
          <w:rFonts w:ascii="Times New Roman" w:hAnsi="Times New Roman" w:cs="Times New Roman"/>
          <w:sz w:val="24"/>
          <w:szCs w:val="24"/>
        </w:rPr>
      </w:pPr>
    </w:p>
    <w:p w14:paraId="0A5FF229" w14:textId="544DD82E" w:rsidR="00CC4D88" w:rsidRPr="00462C0B" w:rsidRDefault="00383388" w:rsidP="00534B83">
      <w:pPr>
        <w:pStyle w:val="Heading2"/>
      </w:pPr>
      <w:r w:rsidRPr="00462C0B">
        <w:t>Database search process</w:t>
      </w:r>
    </w:p>
    <w:p w14:paraId="2FBAD1FE" w14:textId="0B3671E0" w:rsidR="006702E1" w:rsidRPr="00462C0B" w:rsidRDefault="0025152B" w:rsidP="00397C33">
      <w:pPr>
        <w:spacing w:line="360" w:lineRule="auto"/>
        <w:rPr>
          <w:rFonts w:ascii="Times New Roman" w:hAnsi="Times New Roman" w:cs="Times New Roman"/>
          <w:sz w:val="24"/>
          <w:szCs w:val="24"/>
        </w:rPr>
      </w:pPr>
      <w:r w:rsidRPr="00462C0B">
        <w:rPr>
          <w:rFonts w:ascii="Times New Roman" w:hAnsi="Times New Roman" w:cs="Times New Roman"/>
          <w:sz w:val="24"/>
          <w:szCs w:val="24"/>
        </w:rPr>
        <w:t>We searched our literature from two main databases</w:t>
      </w:r>
      <w:r w:rsidR="006114A2" w:rsidRPr="00462C0B">
        <w:rPr>
          <w:rFonts w:ascii="Times New Roman" w:hAnsi="Times New Roman" w:cs="Times New Roman"/>
          <w:sz w:val="24"/>
          <w:szCs w:val="24"/>
        </w:rPr>
        <w:t>,</w:t>
      </w:r>
      <w:r w:rsidRPr="00462C0B">
        <w:rPr>
          <w:rFonts w:ascii="Times New Roman" w:hAnsi="Times New Roman" w:cs="Times New Roman"/>
          <w:sz w:val="24"/>
          <w:szCs w:val="24"/>
        </w:rPr>
        <w:t xml:space="preserve"> Scopus and Web of </w:t>
      </w:r>
      <w:r w:rsidR="006114A2" w:rsidRPr="00462C0B">
        <w:rPr>
          <w:rFonts w:ascii="Times New Roman" w:hAnsi="Times New Roman" w:cs="Times New Roman"/>
          <w:sz w:val="24"/>
          <w:szCs w:val="24"/>
        </w:rPr>
        <w:t>S</w:t>
      </w:r>
      <w:r w:rsidRPr="00462C0B">
        <w:rPr>
          <w:rFonts w:ascii="Times New Roman" w:hAnsi="Times New Roman" w:cs="Times New Roman"/>
          <w:sz w:val="24"/>
          <w:szCs w:val="24"/>
        </w:rPr>
        <w:t>cience.</w:t>
      </w:r>
      <w:r w:rsidR="00145F28" w:rsidRPr="00462C0B">
        <w:rPr>
          <w:rFonts w:ascii="Times New Roman" w:hAnsi="Times New Roman" w:cs="Times New Roman"/>
          <w:sz w:val="24"/>
          <w:szCs w:val="24"/>
        </w:rPr>
        <w:t xml:space="preserve"> </w:t>
      </w:r>
      <w:r w:rsidR="00C03D8D" w:rsidRPr="00462C0B">
        <w:rPr>
          <w:rFonts w:ascii="Times New Roman" w:hAnsi="Times New Roman" w:cs="Times New Roman"/>
          <w:sz w:val="24"/>
          <w:szCs w:val="24"/>
        </w:rPr>
        <w:t xml:space="preserve">We limited our search to English </w:t>
      </w:r>
      <w:r w:rsidR="001809E4" w:rsidRPr="00462C0B">
        <w:rPr>
          <w:rFonts w:ascii="Times New Roman" w:hAnsi="Times New Roman" w:cs="Times New Roman"/>
          <w:sz w:val="24"/>
          <w:szCs w:val="24"/>
        </w:rPr>
        <w:t>papers</w:t>
      </w:r>
      <w:r w:rsidR="00C03D8D" w:rsidRPr="00462C0B">
        <w:rPr>
          <w:rFonts w:ascii="Times New Roman" w:hAnsi="Times New Roman" w:cs="Times New Roman"/>
          <w:sz w:val="24"/>
          <w:szCs w:val="24"/>
        </w:rPr>
        <w:t xml:space="preserve"> with no </w:t>
      </w:r>
      <w:proofErr w:type="gramStart"/>
      <w:r w:rsidR="00C03D8D" w:rsidRPr="00462C0B">
        <w:rPr>
          <w:rFonts w:ascii="Times New Roman" w:hAnsi="Times New Roman" w:cs="Times New Roman"/>
          <w:sz w:val="24"/>
          <w:szCs w:val="24"/>
        </w:rPr>
        <w:t>particular restriction</w:t>
      </w:r>
      <w:proofErr w:type="gramEnd"/>
      <w:r w:rsidR="00C03D8D" w:rsidRPr="00462C0B">
        <w:rPr>
          <w:rFonts w:ascii="Times New Roman" w:hAnsi="Times New Roman" w:cs="Times New Roman"/>
          <w:sz w:val="24"/>
          <w:szCs w:val="24"/>
        </w:rPr>
        <w:t xml:space="preserve"> to geographical scope and publication date. </w:t>
      </w:r>
      <w:r w:rsidR="007F2CD0" w:rsidRPr="00462C0B">
        <w:rPr>
          <w:rFonts w:ascii="Times New Roman" w:hAnsi="Times New Roman" w:cs="Times New Roman"/>
          <w:sz w:val="24"/>
          <w:szCs w:val="24"/>
        </w:rPr>
        <w:t xml:space="preserve">During the database search process, we use </w:t>
      </w:r>
      <w:r w:rsidR="001B6E0C" w:rsidRPr="00462C0B">
        <w:rPr>
          <w:rFonts w:ascii="Times New Roman" w:hAnsi="Times New Roman" w:cs="Times New Roman"/>
          <w:sz w:val="24"/>
          <w:szCs w:val="24"/>
        </w:rPr>
        <w:t xml:space="preserve">Boolean </w:t>
      </w:r>
      <w:r w:rsidR="00DB255C" w:rsidRPr="00462C0B">
        <w:rPr>
          <w:rFonts w:ascii="Times New Roman" w:hAnsi="Times New Roman" w:cs="Times New Roman"/>
          <w:sz w:val="24"/>
          <w:szCs w:val="24"/>
        </w:rPr>
        <w:t>“</w:t>
      </w:r>
      <w:r w:rsidR="001B6E0C" w:rsidRPr="00462C0B">
        <w:rPr>
          <w:rFonts w:ascii="Times New Roman" w:hAnsi="Times New Roman" w:cs="Times New Roman"/>
          <w:sz w:val="24"/>
          <w:szCs w:val="24"/>
        </w:rPr>
        <w:t>OR</w:t>
      </w:r>
      <w:r w:rsidR="00DB255C" w:rsidRPr="00462C0B">
        <w:rPr>
          <w:rFonts w:ascii="Times New Roman" w:hAnsi="Times New Roman" w:cs="Times New Roman"/>
          <w:sz w:val="24"/>
          <w:szCs w:val="24"/>
        </w:rPr>
        <w:t>”</w:t>
      </w:r>
      <w:r w:rsidR="001B6E0C" w:rsidRPr="00462C0B">
        <w:rPr>
          <w:rFonts w:ascii="Times New Roman" w:hAnsi="Times New Roman" w:cs="Times New Roman"/>
          <w:sz w:val="24"/>
          <w:szCs w:val="24"/>
        </w:rPr>
        <w:t xml:space="preserve"> and </w:t>
      </w:r>
      <w:r w:rsidR="00DB255C" w:rsidRPr="00462C0B">
        <w:rPr>
          <w:rFonts w:ascii="Times New Roman" w:hAnsi="Times New Roman" w:cs="Times New Roman"/>
          <w:sz w:val="24"/>
          <w:szCs w:val="24"/>
        </w:rPr>
        <w:t>“AND”</w:t>
      </w:r>
      <w:r w:rsidR="00FC1AEC" w:rsidRPr="00462C0B">
        <w:rPr>
          <w:rFonts w:ascii="Times New Roman" w:hAnsi="Times New Roman" w:cs="Times New Roman"/>
          <w:sz w:val="24"/>
          <w:szCs w:val="24"/>
        </w:rPr>
        <w:t xml:space="preserve"> </w:t>
      </w:r>
      <w:r w:rsidR="007F2CD0" w:rsidRPr="00462C0B">
        <w:rPr>
          <w:rFonts w:ascii="Times New Roman" w:hAnsi="Times New Roman" w:cs="Times New Roman"/>
          <w:sz w:val="24"/>
          <w:szCs w:val="24"/>
        </w:rPr>
        <w:t xml:space="preserve">to combine </w:t>
      </w:r>
      <w:r w:rsidR="007C52F6" w:rsidRPr="00462C0B">
        <w:rPr>
          <w:rFonts w:ascii="Times New Roman" w:hAnsi="Times New Roman" w:cs="Times New Roman"/>
          <w:sz w:val="24"/>
          <w:szCs w:val="24"/>
        </w:rPr>
        <w:t>the</w:t>
      </w:r>
      <w:r w:rsidR="007F2CD0" w:rsidRPr="00462C0B">
        <w:rPr>
          <w:rFonts w:ascii="Times New Roman" w:hAnsi="Times New Roman" w:cs="Times New Roman"/>
          <w:sz w:val="24"/>
          <w:szCs w:val="24"/>
        </w:rPr>
        <w:t xml:space="preserve"> different keywords that we developed from </w:t>
      </w:r>
      <w:r w:rsidR="007C52F6" w:rsidRPr="00462C0B">
        <w:rPr>
          <w:rFonts w:ascii="Times New Roman" w:hAnsi="Times New Roman" w:cs="Times New Roman"/>
          <w:sz w:val="24"/>
          <w:szCs w:val="24"/>
        </w:rPr>
        <w:t xml:space="preserve">the </w:t>
      </w:r>
      <w:r w:rsidR="007F2CD0" w:rsidRPr="00462C0B">
        <w:rPr>
          <w:rFonts w:ascii="Times New Roman" w:hAnsi="Times New Roman" w:cs="Times New Roman"/>
          <w:sz w:val="24"/>
          <w:szCs w:val="24"/>
        </w:rPr>
        <w:t xml:space="preserve">literature. In the event keywords had multiple endings e.g. </w:t>
      </w:r>
      <w:r w:rsidR="00C42BC0" w:rsidRPr="00462C0B">
        <w:rPr>
          <w:rFonts w:ascii="Times New Roman" w:hAnsi="Times New Roman" w:cs="Times New Roman"/>
          <w:sz w:val="24"/>
          <w:szCs w:val="24"/>
        </w:rPr>
        <w:t>offse</w:t>
      </w:r>
      <w:r w:rsidR="00C42BC0" w:rsidRPr="00462C0B">
        <w:rPr>
          <w:rFonts w:ascii="Times New Roman" w:hAnsi="Times New Roman" w:cs="Times New Roman"/>
          <w:b/>
          <w:bCs/>
          <w:sz w:val="24"/>
          <w:szCs w:val="24"/>
        </w:rPr>
        <w:t>t</w:t>
      </w:r>
      <w:r w:rsidR="007F2CD0" w:rsidRPr="00462C0B">
        <w:rPr>
          <w:rFonts w:ascii="Times New Roman" w:hAnsi="Times New Roman" w:cs="Times New Roman"/>
          <w:sz w:val="24"/>
          <w:szCs w:val="24"/>
        </w:rPr>
        <w:t xml:space="preserve"> or </w:t>
      </w:r>
      <w:r w:rsidR="00C42BC0" w:rsidRPr="00462C0B">
        <w:rPr>
          <w:rFonts w:ascii="Times New Roman" w:hAnsi="Times New Roman" w:cs="Times New Roman"/>
          <w:sz w:val="24"/>
          <w:szCs w:val="24"/>
        </w:rPr>
        <w:t>offset</w:t>
      </w:r>
      <w:r w:rsidR="00C42BC0" w:rsidRPr="00462C0B">
        <w:rPr>
          <w:rFonts w:ascii="Times New Roman" w:hAnsi="Times New Roman" w:cs="Times New Roman"/>
          <w:b/>
          <w:bCs/>
          <w:sz w:val="24"/>
          <w:szCs w:val="24"/>
        </w:rPr>
        <w:t>s</w:t>
      </w:r>
      <w:r w:rsidR="00EE702A" w:rsidRPr="00462C0B">
        <w:rPr>
          <w:rFonts w:ascii="Times New Roman" w:hAnsi="Times New Roman" w:cs="Times New Roman"/>
          <w:b/>
          <w:bCs/>
          <w:sz w:val="24"/>
          <w:szCs w:val="24"/>
        </w:rPr>
        <w:t xml:space="preserve">, </w:t>
      </w:r>
      <w:r w:rsidR="00EE702A" w:rsidRPr="00462C0B">
        <w:rPr>
          <w:rFonts w:ascii="Times New Roman" w:hAnsi="Times New Roman" w:cs="Times New Roman"/>
          <w:sz w:val="24"/>
          <w:szCs w:val="24"/>
        </w:rPr>
        <w:t xml:space="preserve">we used the asterisk (*) sign to shorten such words. To limit our search to the keywords provided, we used the double quotation marks “…”. Table 2 shows </w:t>
      </w:r>
      <w:r w:rsidR="001809E4" w:rsidRPr="00462C0B">
        <w:rPr>
          <w:rFonts w:ascii="Times New Roman" w:hAnsi="Times New Roman" w:cs="Times New Roman"/>
          <w:sz w:val="24"/>
          <w:szCs w:val="24"/>
        </w:rPr>
        <w:t xml:space="preserve">a summary of </w:t>
      </w:r>
      <w:r w:rsidR="00EE702A" w:rsidRPr="00462C0B">
        <w:rPr>
          <w:rFonts w:ascii="Times New Roman" w:hAnsi="Times New Roman" w:cs="Times New Roman"/>
          <w:sz w:val="24"/>
          <w:szCs w:val="24"/>
        </w:rPr>
        <w:t>our search word combinations.</w:t>
      </w:r>
    </w:p>
    <w:p w14:paraId="7E6405FC" w14:textId="1023960C" w:rsidR="0083530A" w:rsidRPr="00462C0B" w:rsidRDefault="0083530A" w:rsidP="002D5BE6">
      <w:pPr>
        <w:spacing w:line="360" w:lineRule="auto"/>
        <w:jc w:val="both"/>
        <w:rPr>
          <w:rFonts w:ascii="Times New Roman" w:hAnsi="Times New Roman" w:cs="Times New Roman"/>
          <w:b/>
          <w:bCs/>
          <w:sz w:val="24"/>
          <w:szCs w:val="24"/>
        </w:rPr>
      </w:pPr>
      <w:r w:rsidRPr="00462C0B">
        <w:rPr>
          <w:rFonts w:ascii="Times New Roman" w:hAnsi="Times New Roman" w:cs="Times New Roman"/>
          <w:b/>
          <w:bCs/>
          <w:sz w:val="24"/>
          <w:szCs w:val="24"/>
        </w:rPr>
        <w:t>Table 2: Keywords and search strings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253CF" w:rsidRPr="00462C0B" w14:paraId="217B0116" w14:textId="77777777" w:rsidTr="007253CF">
        <w:trPr>
          <w:trHeight w:val="2296"/>
        </w:trPr>
        <w:tc>
          <w:tcPr>
            <w:tcW w:w="9072" w:type="dxa"/>
            <w:tcBorders>
              <w:top w:val="single" w:sz="4" w:space="0" w:color="auto"/>
              <w:bottom w:val="single" w:sz="4" w:space="0" w:color="auto"/>
            </w:tcBorders>
            <w:vAlign w:val="center"/>
          </w:tcPr>
          <w:p w14:paraId="0F85E0CA" w14:textId="21FE333C" w:rsidR="007253CF" w:rsidRPr="00462C0B" w:rsidRDefault="007253CF" w:rsidP="007253CF">
            <w:pPr>
              <w:spacing w:line="360" w:lineRule="auto"/>
              <w:rPr>
                <w:rFonts w:ascii="Times New Roman" w:hAnsi="Times New Roman" w:cs="Times New Roman"/>
                <w:sz w:val="24"/>
                <w:szCs w:val="24"/>
              </w:rPr>
            </w:pPr>
            <w:r w:rsidRPr="00462C0B">
              <w:rPr>
                <w:rFonts w:ascii="Times New Roman" w:hAnsi="Times New Roman" w:cs="Times New Roman"/>
                <w:sz w:val="24"/>
                <w:szCs w:val="24"/>
              </w:rPr>
              <w:t>biodiversity AND offset* AND market*</w:t>
            </w:r>
          </w:p>
          <w:p w14:paraId="13860DEE" w14:textId="3FF33E89" w:rsidR="007253CF" w:rsidRPr="00462C0B" w:rsidRDefault="007253CF" w:rsidP="007253CF">
            <w:pPr>
              <w:spacing w:line="360" w:lineRule="auto"/>
              <w:rPr>
                <w:rFonts w:ascii="Times New Roman" w:hAnsi="Times New Roman" w:cs="Times New Roman"/>
                <w:sz w:val="24"/>
                <w:szCs w:val="24"/>
              </w:rPr>
            </w:pPr>
            <w:r w:rsidRPr="00462C0B">
              <w:rPr>
                <w:rFonts w:ascii="Times New Roman" w:hAnsi="Times New Roman" w:cs="Times New Roman"/>
                <w:sz w:val="24"/>
                <w:szCs w:val="24"/>
              </w:rPr>
              <w:t>wetland* AND mitigation AND bank*</w:t>
            </w:r>
          </w:p>
          <w:p w14:paraId="71B2E07D" w14:textId="4D425514" w:rsidR="007253CF" w:rsidRPr="00462C0B" w:rsidRDefault="007253CF" w:rsidP="007253CF">
            <w:pPr>
              <w:spacing w:line="360" w:lineRule="auto"/>
              <w:rPr>
                <w:rFonts w:ascii="Times New Roman" w:hAnsi="Times New Roman" w:cs="Times New Roman"/>
                <w:sz w:val="24"/>
                <w:szCs w:val="24"/>
              </w:rPr>
            </w:pPr>
            <w:r w:rsidRPr="00462C0B">
              <w:rPr>
                <w:rFonts w:ascii="Times New Roman" w:hAnsi="Times New Roman" w:cs="Times New Roman"/>
                <w:sz w:val="24"/>
                <w:szCs w:val="24"/>
              </w:rPr>
              <w:t>habitat* AND offset* and bank*</w:t>
            </w:r>
          </w:p>
          <w:p w14:paraId="1119D288" w14:textId="7764BAA5" w:rsidR="007253CF" w:rsidRPr="00462C0B" w:rsidRDefault="007253CF" w:rsidP="007253CF">
            <w:pPr>
              <w:spacing w:line="360" w:lineRule="auto"/>
              <w:rPr>
                <w:rFonts w:ascii="Times New Roman" w:hAnsi="Times New Roman" w:cs="Times New Roman"/>
                <w:sz w:val="24"/>
                <w:szCs w:val="24"/>
              </w:rPr>
            </w:pPr>
            <w:r w:rsidRPr="00462C0B">
              <w:rPr>
                <w:rFonts w:ascii="Times New Roman" w:hAnsi="Times New Roman" w:cs="Times New Roman"/>
                <w:sz w:val="24"/>
                <w:szCs w:val="24"/>
              </w:rPr>
              <w:t>biodiversity AND offset* AND bank*</w:t>
            </w:r>
          </w:p>
        </w:tc>
      </w:tr>
    </w:tbl>
    <w:p w14:paraId="56AD592A" w14:textId="1C6D969F" w:rsidR="007875AE" w:rsidRDefault="007875AE" w:rsidP="002D5BE6">
      <w:pPr>
        <w:spacing w:line="360" w:lineRule="auto"/>
        <w:jc w:val="both"/>
        <w:rPr>
          <w:rFonts w:ascii="Times New Roman" w:hAnsi="Times New Roman" w:cs="Times New Roman"/>
          <w:b/>
          <w:bCs/>
          <w:sz w:val="24"/>
          <w:szCs w:val="24"/>
        </w:rPr>
      </w:pPr>
    </w:p>
    <w:p w14:paraId="333823CF" w14:textId="77777777" w:rsidR="007875AE" w:rsidRDefault="007875AE">
      <w:pPr>
        <w:rPr>
          <w:rFonts w:ascii="Times New Roman" w:hAnsi="Times New Roman" w:cs="Times New Roman"/>
          <w:b/>
          <w:bCs/>
          <w:sz w:val="24"/>
          <w:szCs w:val="24"/>
        </w:rPr>
      </w:pPr>
      <w:r>
        <w:rPr>
          <w:rFonts w:ascii="Times New Roman" w:hAnsi="Times New Roman" w:cs="Times New Roman"/>
          <w:b/>
          <w:bCs/>
          <w:sz w:val="24"/>
          <w:szCs w:val="24"/>
        </w:rPr>
        <w:br w:type="page"/>
      </w:r>
    </w:p>
    <w:p w14:paraId="70323FA0" w14:textId="6565E33A" w:rsidR="00CC4D88" w:rsidRPr="00462C0B" w:rsidRDefault="0083530A" w:rsidP="00534B83">
      <w:pPr>
        <w:pStyle w:val="Heading2"/>
      </w:pPr>
      <w:r w:rsidRPr="00462C0B">
        <w:lastRenderedPageBreak/>
        <w:t xml:space="preserve">Data screening and </w:t>
      </w:r>
      <w:r w:rsidR="0050209F" w:rsidRPr="00462C0B">
        <w:t>inclusion criteria</w:t>
      </w:r>
    </w:p>
    <w:p w14:paraId="62D23D30" w14:textId="509B9635" w:rsidR="00514E1E" w:rsidRPr="00462C0B" w:rsidRDefault="001809E4" w:rsidP="003E0C6B">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All relevant articles were transferred from the databases to online </w:t>
      </w:r>
      <w:r w:rsidR="009E2F6F" w:rsidRPr="00462C0B">
        <w:rPr>
          <w:rFonts w:ascii="Times New Roman" w:hAnsi="Times New Roman" w:cs="Times New Roman"/>
          <w:sz w:val="24"/>
          <w:szCs w:val="24"/>
        </w:rPr>
        <w:t>E</w:t>
      </w:r>
      <w:r w:rsidRPr="00462C0B">
        <w:rPr>
          <w:rFonts w:ascii="Times New Roman" w:hAnsi="Times New Roman" w:cs="Times New Roman"/>
          <w:sz w:val="24"/>
          <w:szCs w:val="24"/>
        </w:rPr>
        <w:t xml:space="preserve">ndnote software. </w:t>
      </w:r>
      <w:r w:rsidR="00D23B0E" w:rsidRPr="00462C0B">
        <w:rPr>
          <w:rFonts w:ascii="Times New Roman" w:hAnsi="Times New Roman" w:cs="Times New Roman"/>
          <w:sz w:val="24"/>
          <w:szCs w:val="24"/>
        </w:rPr>
        <w:t xml:space="preserve">The first step was to remove duplicates. We further screened relevant </w:t>
      </w:r>
      <w:r w:rsidR="004F1B99" w:rsidRPr="00462C0B">
        <w:rPr>
          <w:rFonts w:ascii="Times New Roman" w:hAnsi="Times New Roman" w:cs="Times New Roman"/>
          <w:sz w:val="24"/>
          <w:szCs w:val="24"/>
        </w:rPr>
        <w:t xml:space="preserve">articles </w:t>
      </w:r>
      <w:r w:rsidR="00CC4D88" w:rsidRPr="00462C0B">
        <w:rPr>
          <w:rFonts w:ascii="Times New Roman" w:hAnsi="Times New Roman" w:cs="Times New Roman"/>
          <w:sz w:val="24"/>
          <w:szCs w:val="24"/>
        </w:rPr>
        <w:t>based on title</w:t>
      </w:r>
      <w:r w:rsidR="00D23B0E" w:rsidRPr="00462C0B">
        <w:rPr>
          <w:rFonts w:ascii="Times New Roman" w:hAnsi="Times New Roman" w:cs="Times New Roman"/>
          <w:sz w:val="24"/>
          <w:szCs w:val="24"/>
        </w:rPr>
        <w:t>s</w:t>
      </w:r>
      <w:r w:rsidR="00CC4D88" w:rsidRPr="00462C0B">
        <w:rPr>
          <w:rFonts w:ascii="Times New Roman" w:hAnsi="Times New Roman" w:cs="Times New Roman"/>
          <w:sz w:val="24"/>
          <w:szCs w:val="24"/>
        </w:rPr>
        <w:t xml:space="preserve"> and abstract</w:t>
      </w:r>
      <w:r w:rsidR="00D23B0E" w:rsidRPr="00462C0B">
        <w:rPr>
          <w:rFonts w:ascii="Times New Roman" w:hAnsi="Times New Roman" w:cs="Times New Roman"/>
          <w:sz w:val="24"/>
          <w:szCs w:val="24"/>
        </w:rPr>
        <w:t>s followed</w:t>
      </w:r>
      <w:r w:rsidR="004F1B99" w:rsidRPr="00462C0B">
        <w:rPr>
          <w:rFonts w:ascii="Times New Roman" w:hAnsi="Times New Roman" w:cs="Times New Roman"/>
          <w:sz w:val="24"/>
          <w:szCs w:val="24"/>
        </w:rPr>
        <w:t xml:space="preserve"> by </w:t>
      </w:r>
      <w:r w:rsidR="007C52F6" w:rsidRPr="00462C0B">
        <w:rPr>
          <w:rFonts w:ascii="Times New Roman" w:hAnsi="Times New Roman" w:cs="Times New Roman"/>
          <w:sz w:val="24"/>
          <w:szCs w:val="24"/>
        </w:rPr>
        <w:t xml:space="preserve">an </w:t>
      </w:r>
      <w:r w:rsidR="004F1B99" w:rsidRPr="00462C0B">
        <w:rPr>
          <w:rFonts w:ascii="Times New Roman" w:hAnsi="Times New Roman" w:cs="Times New Roman"/>
          <w:sz w:val="24"/>
          <w:szCs w:val="24"/>
        </w:rPr>
        <w:t xml:space="preserve">in-depth review of </w:t>
      </w:r>
      <w:r w:rsidR="0062098C" w:rsidRPr="00462C0B">
        <w:rPr>
          <w:rFonts w:ascii="Times New Roman" w:hAnsi="Times New Roman" w:cs="Times New Roman"/>
          <w:sz w:val="24"/>
          <w:szCs w:val="24"/>
        </w:rPr>
        <w:t>full texts</w:t>
      </w:r>
      <w:r w:rsidR="004F1B99" w:rsidRPr="00462C0B">
        <w:rPr>
          <w:rFonts w:ascii="Times New Roman" w:hAnsi="Times New Roman" w:cs="Times New Roman"/>
          <w:sz w:val="24"/>
          <w:szCs w:val="24"/>
        </w:rPr>
        <w:t>.</w:t>
      </w:r>
      <w:r w:rsidR="00D354B5" w:rsidRPr="00462C0B">
        <w:rPr>
          <w:rFonts w:ascii="Times New Roman" w:hAnsi="Times New Roman" w:cs="Times New Roman"/>
          <w:sz w:val="24"/>
          <w:szCs w:val="24"/>
        </w:rPr>
        <w:t xml:space="preserve"> The studies that we selected for review had to meet the following criteria</w:t>
      </w:r>
      <w:r w:rsidR="006702E1" w:rsidRPr="00462C0B">
        <w:rPr>
          <w:rFonts w:ascii="Times New Roman" w:hAnsi="Times New Roman" w:cs="Times New Roman"/>
          <w:sz w:val="24"/>
          <w:szCs w:val="24"/>
        </w:rPr>
        <w:t>.</w:t>
      </w:r>
      <w:r w:rsidR="00D354B5" w:rsidRPr="00462C0B">
        <w:rPr>
          <w:rFonts w:ascii="Times New Roman" w:hAnsi="Times New Roman" w:cs="Times New Roman"/>
          <w:sz w:val="24"/>
          <w:szCs w:val="24"/>
        </w:rPr>
        <w:t xml:space="preserve"> First, they had to</w:t>
      </w:r>
      <w:r w:rsidR="00DB74B0" w:rsidRPr="00462C0B">
        <w:rPr>
          <w:rFonts w:ascii="Times New Roman" w:hAnsi="Times New Roman" w:cs="Times New Roman"/>
          <w:sz w:val="24"/>
          <w:szCs w:val="24"/>
        </w:rPr>
        <w:t xml:space="preserve"> be from a peer-reviewed journal and in </w:t>
      </w:r>
      <w:r w:rsidR="007C52F6" w:rsidRPr="00462C0B">
        <w:rPr>
          <w:rFonts w:ascii="Times New Roman" w:hAnsi="Times New Roman" w:cs="Times New Roman"/>
          <w:sz w:val="24"/>
          <w:szCs w:val="24"/>
        </w:rPr>
        <w:t xml:space="preserve">the </w:t>
      </w:r>
      <w:r w:rsidR="00DB74B0" w:rsidRPr="00462C0B">
        <w:rPr>
          <w:rFonts w:ascii="Times New Roman" w:hAnsi="Times New Roman" w:cs="Times New Roman"/>
          <w:sz w:val="24"/>
          <w:szCs w:val="24"/>
        </w:rPr>
        <w:t xml:space="preserve">English language. </w:t>
      </w:r>
      <w:proofErr w:type="gramStart"/>
      <w:r w:rsidR="004A63EA" w:rsidRPr="00462C0B">
        <w:rPr>
          <w:rFonts w:ascii="Times New Roman" w:hAnsi="Times New Roman" w:cs="Times New Roman"/>
          <w:sz w:val="24"/>
          <w:szCs w:val="24"/>
        </w:rPr>
        <w:t>The majority of</w:t>
      </w:r>
      <w:proofErr w:type="gramEnd"/>
      <w:r w:rsidR="004A63EA" w:rsidRPr="00462C0B">
        <w:rPr>
          <w:rFonts w:ascii="Times New Roman" w:hAnsi="Times New Roman" w:cs="Times New Roman"/>
          <w:sz w:val="24"/>
          <w:szCs w:val="24"/>
        </w:rPr>
        <w:t xml:space="preserve"> offset research in terms of academic publications has </w:t>
      </w:r>
      <w:r w:rsidR="00F86D2D" w:rsidRPr="00462C0B">
        <w:rPr>
          <w:rFonts w:ascii="Times New Roman" w:hAnsi="Times New Roman" w:cs="Times New Roman"/>
          <w:sz w:val="24"/>
          <w:szCs w:val="24"/>
        </w:rPr>
        <w:t>focussed on Australia, Canada, Western Europe and the USA</w:t>
      </w:r>
      <w:r w:rsidR="001E72F1" w:rsidRPr="00462C0B">
        <w:rPr>
          <w:rFonts w:ascii="Times New Roman" w:hAnsi="Times New Roman" w:cs="Times New Roman"/>
          <w:sz w:val="24"/>
          <w:szCs w:val="24"/>
        </w:rPr>
        <w:t xml:space="preserve"> which is where a large number of offset projects have been undertaken</w:t>
      </w:r>
      <w:r w:rsidR="00F86D2D" w:rsidRPr="00462C0B">
        <w:rPr>
          <w:rFonts w:ascii="Times New Roman" w:hAnsi="Times New Roman" w:cs="Times New Roman"/>
          <w:sz w:val="24"/>
          <w:szCs w:val="24"/>
        </w:rPr>
        <w:t xml:space="preserve"> (Bull and Strange 2018). </w:t>
      </w:r>
      <w:r w:rsidR="001E72F1" w:rsidRPr="00462C0B">
        <w:rPr>
          <w:rFonts w:ascii="Times New Roman" w:hAnsi="Times New Roman" w:cs="Times New Roman"/>
          <w:sz w:val="24"/>
          <w:szCs w:val="24"/>
        </w:rPr>
        <w:t>However, we recognise that the focus on English language may miss offset projects located in Central and South America</w:t>
      </w:r>
      <w:r w:rsidR="006A2DFA" w:rsidRPr="00462C0B">
        <w:rPr>
          <w:rFonts w:ascii="Times New Roman" w:hAnsi="Times New Roman" w:cs="Times New Roman"/>
          <w:sz w:val="24"/>
          <w:szCs w:val="24"/>
        </w:rPr>
        <w:t xml:space="preserve">, Africa and Asia. As discussed by Bull and Strange (2018) </w:t>
      </w:r>
      <w:r w:rsidR="003E0C6B" w:rsidRPr="00462C0B">
        <w:rPr>
          <w:rFonts w:ascii="Times New Roman" w:hAnsi="Times New Roman" w:cs="Times New Roman"/>
          <w:sz w:val="24"/>
          <w:szCs w:val="24"/>
        </w:rPr>
        <w:t xml:space="preserve">the bulk of offsetting activities </w:t>
      </w:r>
      <w:proofErr w:type="gramStart"/>
      <w:r w:rsidR="003E0C6B" w:rsidRPr="00462C0B">
        <w:rPr>
          <w:rFonts w:ascii="Times New Roman" w:hAnsi="Times New Roman" w:cs="Times New Roman"/>
          <w:sz w:val="24"/>
          <w:szCs w:val="24"/>
        </w:rPr>
        <w:t>is located in</w:t>
      </w:r>
      <w:proofErr w:type="gramEnd"/>
      <w:r w:rsidR="003E0C6B" w:rsidRPr="00462C0B">
        <w:rPr>
          <w:rFonts w:ascii="Times New Roman" w:hAnsi="Times New Roman" w:cs="Times New Roman"/>
          <w:sz w:val="24"/>
          <w:szCs w:val="24"/>
        </w:rPr>
        <w:t xml:space="preserve"> these less industrialized, emerging economies. Our second screen identified if the articles had </w:t>
      </w:r>
      <w:r w:rsidR="00DB74B0" w:rsidRPr="00462C0B">
        <w:rPr>
          <w:rFonts w:ascii="Times New Roman" w:hAnsi="Times New Roman" w:cs="Times New Roman"/>
          <w:sz w:val="24"/>
          <w:szCs w:val="24"/>
        </w:rPr>
        <w:t xml:space="preserve">findings </w:t>
      </w:r>
      <w:r w:rsidR="006A3EE3" w:rsidRPr="00462C0B">
        <w:rPr>
          <w:rFonts w:ascii="Times New Roman" w:hAnsi="Times New Roman" w:cs="Times New Roman"/>
          <w:sz w:val="24"/>
          <w:szCs w:val="24"/>
        </w:rPr>
        <w:t>achieved</w:t>
      </w:r>
      <w:r w:rsidR="00DB74B0" w:rsidRPr="00462C0B">
        <w:rPr>
          <w:rFonts w:ascii="Times New Roman" w:hAnsi="Times New Roman" w:cs="Times New Roman"/>
          <w:sz w:val="24"/>
          <w:szCs w:val="24"/>
        </w:rPr>
        <w:t xml:space="preserve"> from a qualitative or quantitative analysis of secondary or primary data on </w:t>
      </w:r>
      <w:r w:rsidR="006B7899" w:rsidRPr="00462C0B">
        <w:rPr>
          <w:rFonts w:ascii="Times New Roman" w:hAnsi="Times New Roman" w:cs="Times New Roman"/>
          <w:sz w:val="24"/>
          <w:szCs w:val="24"/>
        </w:rPr>
        <w:t>biodiversity offset markets</w:t>
      </w:r>
      <w:r w:rsidR="00DB74B0" w:rsidRPr="00462C0B">
        <w:rPr>
          <w:rFonts w:ascii="Times New Roman" w:hAnsi="Times New Roman" w:cs="Times New Roman"/>
          <w:sz w:val="24"/>
          <w:szCs w:val="24"/>
        </w:rPr>
        <w:t xml:space="preserve">. </w:t>
      </w:r>
      <w:r w:rsidR="006A3EE3" w:rsidRPr="00462C0B">
        <w:rPr>
          <w:rFonts w:ascii="Times New Roman" w:hAnsi="Times New Roman" w:cs="Times New Roman"/>
          <w:sz w:val="24"/>
          <w:szCs w:val="24"/>
        </w:rPr>
        <w:t xml:space="preserve">We excluded </w:t>
      </w:r>
      <w:r w:rsidR="00E85358" w:rsidRPr="00462C0B">
        <w:rPr>
          <w:rFonts w:ascii="Times New Roman" w:hAnsi="Times New Roman" w:cs="Times New Roman"/>
          <w:sz w:val="24"/>
          <w:szCs w:val="24"/>
        </w:rPr>
        <w:t xml:space="preserve">systematic reviews, book chapters, </w:t>
      </w:r>
      <w:r w:rsidR="00FF6C05" w:rsidRPr="00462C0B">
        <w:rPr>
          <w:rFonts w:ascii="Times New Roman" w:hAnsi="Times New Roman" w:cs="Times New Roman"/>
          <w:sz w:val="24"/>
          <w:szCs w:val="24"/>
        </w:rPr>
        <w:t xml:space="preserve">reports, editorials, </w:t>
      </w:r>
      <w:r w:rsidR="006059FB" w:rsidRPr="00462C0B">
        <w:rPr>
          <w:rFonts w:ascii="Times New Roman" w:hAnsi="Times New Roman" w:cs="Times New Roman"/>
          <w:sz w:val="24"/>
          <w:szCs w:val="24"/>
        </w:rPr>
        <w:t>commentaries,</w:t>
      </w:r>
      <w:r w:rsidR="00FF6C05" w:rsidRPr="00462C0B">
        <w:rPr>
          <w:rFonts w:ascii="Times New Roman" w:hAnsi="Times New Roman" w:cs="Times New Roman"/>
          <w:sz w:val="24"/>
          <w:szCs w:val="24"/>
        </w:rPr>
        <w:t xml:space="preserve"> and </w:t>
      </w:r>
      <w:r w:rsidR="00E85358" w:rsidRPr="00462C0B">
        <w:rPr>
          <w:rFonts w:ascii="Times New Roman" w:hAnsi="Times New Roman" w:cs="Times New Roman"/>
          <w:sz w:val="24"/>
          <w:szCs w:val="24"/>
        </w:rPr>
        <w:t>studies not focusing on the empirical application of</w:t>
      </w:r>
      <w:r w:rsidR="00163A07" w:rsidRPr="00462C0B">
        <w:rPr>
          <w:rFonts w:ascii="Times New Roman" w:hAnsi="Times New Roman" w:cs="Times New Roman"/>
          <w:sz w:val="24"/>
          <w:szCs w:val="24"/>
        </w:rPr>
        <w:t xml:space="preserve"> biodiversity offset markets</w:t>
      </w:r>
      <w:r w:rsidR="00E85358" w:rsidRPr="00462C0B">
        <w:rPr>
          <w:rFonts w:ascii="Times New Roman" w:hAnsi="Times New Roman" w:cs="Times New Roman"/>
          <w:sz w:val="24"/>
          <w:szCs w:val="24"/>
        </w:rPr>
        <w:t>.</w:t>
      </w:r>
    </w:p>
    <w:p w14:paraId="66221BE4" w14:textId="467BDDB0" w:rsidR="006A3EE3" w:rsidRPr="00462C0B" w:rsidRDefault="002544F7" w:rsidP="00421FF2">
      <w:pPr>
        <w:pStyle w:val="Heading2"/>
      </w:pPr>
      <w:r w:rsidRPr="00462C0B">
        <w:t>Data extraction process</w:t>
      </w:r>
      <w:r w:rsidR="00E85358" w:rsidRPr="00462C0B">
        <w:t xml:space="preserve"> </w:t>
      </w:r>
    </w:p>
    <w:p w14:paraId="38F79AD8" w14:textId="4DB7C6CB" w:rsidR="006D32C3" w:rsidRPr="00462C0B" w:rsidRDefault="002544F7" w:rsidP="00397C33">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Our data extraction process was </w:t>
      </w:r>
      <w:r w:rsidR="001614A8" w:rsidRPr="00462C0B">
        <w:rPr>
          <w:rFonts w:ascii="Times New Roman" w:hAnsi="Times New Roman" w:cs="Times New Roman"/>
          <w:sz w:val="24"/>
          <w:szCs w:val="24"/>
        </w:rPr>
        <w:t>comprehensive and</w:t>
      </w:r>
      <w:r w:rsidR="006D32C3" w:rsidRPr="00462C0B">
        <w:rPr>
          <w:rFonts w:ascii="Times New Roman" w:hAnsi="Times New Roman" w:cs="Times New Roman"/>
          <w:sz w:val="24"/>
          <w:szCs w:val="24"/>
        </w:rPr>
        <w:t xml:space="preserve"> </w:t>
      </w:r>
      <w:r w:rsidR="00872973" w:rsidRPr="00462C0B">
        <w:rPr>
          <w:rFonts w:ascii="Times New Roman" w:hAnsi="Times New Roman" w:cs="Times New Roman"/>
          <w:sz w:val="24"/>
          <w:szCs w:val="24"/>
        </w:rPr>
        <w:t>was made up of</w:t>
      </w:r>
      <w:r w:rsidR="006D32C3" w:rsidRPr="00462C0B">
        <w:rPr>
          <w:rFonts w:ascii="Times New Roman" w:hAnsi="Times New Roman" w:cs="Times New Roman"/>
          <w:sz w:val="24"/>
          <w:szCs w:val="24"/>
        </w:rPr>
        <w:t xml:space="preserve"> </w:t>
      </w:r>
      <w:r w:rsidR="00114A6D" w:rsidRPr="00462C0B">
        <w:rPr>
          <w:rFonts w:ascii="Times New Roman" w:hAnsi="Times New Roman" w:cs="Times New Roman"/>
          <w:sz w:val="24"/>
          <w:szCs w:val="24"/>
        </w:rPr>
        <w:t>three</w:t>
      </w:r>
      <w:r w:rsidR="002D0D29" w:rsidRPr="00462C0B">
        <w:rPr>
          <w:rFonts w:ascii="Times New Roman" w:hAnsi="Times New Roman" w:cs="Times New Roman"/>
          <w:sz w:val="24"/>
          <w:szCs w:val="24"/>
        </w:rPr>
        <w:t xml:space="preserve"> key parts. The first part contain</w:t>
      </w:r>
      <w:r w:rsidR="001809E4" w:rsidRPr="00462C0B">
        <w:rPr>
          <w:rFonts w:ascii="Times New Roman" w:hAnsi="Times New Roman" w:cs="Times New Roman"/>
          <w:sz w:val="24"/>
          <w:szCs w:val="24"/>
        </w:rPr>
        <w:t>ed</w:t>
      </w:r>
      <w:r w:rsidR="002D0D29" w:rsidRPr="00462C0B">
        <w:rPr>
          <w:rFonts w:ascii="Times New Roman" w:hAnsi="Times New Roman" w:cs="Times New Roman"/>
          <w:sz w:val="24"/>
          <w:szCs w:val="24"/>
        </w:rPr>
        <w:t xml:space="preserve"> data on the study characteristics fields such as </w:t>
      </w:r>
      <w:r w:rsidR="007C52F6" w:rsidRPr="00462C0B">
        <w:rPr>
          <w:rFonts w:ascii="Times New Roman" w:hAnsi="Times New Roman" w:cs="Times New Roman"/>
          <w:sz w:val="24"/>
          <w:szCs w:val="24"/>
        </w:rPr>
        <w:t xml:space="preserve">the </w:t>
      </w:r>
      <w:r w:rsidR="002D0D29" w:rsidRPr="00462C0B">
        <w:rPr>
          <w:rFonts w:ascii="Times New Roman" w:hAnsi="Times New Roman" w:cs="Times New Roman"/>
          <w:sz w:val="24"/>
          <w:szCs w:val="24"/>
        </w:rPr>
        <w:t xml:space="preserve">name of the first author, year of publication, title, </w:t>
      </w:r>
      <w:r w:rsidR="007C52F6" w:rsidRPr="00462C0B">
        <w:rPr>
          <w:rFonts w:ascii="Times New Roman" w:hAnsi="Times New Roman" w:cs="Times New Roman"/>
          <w:sz w:val="24"/>
          <w:szCs w:val="24"/>
        </w:rPr>
        <w:t xml:space="preserve">the </w:t>
      </w:r>
      <w:r w:rsidR="002D0D29" w:rsidRPr="00462C0B">
        <w:rPr>
          <w:rFonts w:ascii="Times New Roman" w:hAnsi="Times New Roman" w:cs="Times New Roman"/>
          <w:sz w:val="24"/>
          <w:szCs w:val="24"/>
        </w:rPr>
        <w:t>objective of the study, study type, study area</w:t>
      </w:r>
      <w:r w:rsidR="007C52F6" w:rsidRPr="00462C0B">
        <w:rPr>
          <w:rFonts w:ascii="Times New Roman" w:hAnsi="Times New Roman" w:cs="Times New Roman"/>
          <w:sz w:val="24"/>
          <w:szCs w:val="24"/>
        </w:rPr>
        <w:t>,</w:t>
      </w:r>
      <w:r w:rsidR="002D0D29" w:rsidRPr="00462C0B">
        <w:rPr>
          <w:rFonts w:ascii="Times New Roman" w:hAnsi="Times New Roman" w:cs="Times New Roman"/>
          <w:sz w:val="24"/>
          <w:szCs w:val="24"/>
        </w:rPr>
        <w:t xml:space="preserve"> data type</w:t>
      </w:r>
      <w:r w:rsidR="0005099F" w:rsidRPr="00462C0B">
        <w:rPr>
          <w:rFonts w:ascii="Times New Roman" w:hAnsi="Times New Roman" w:cs="Times New Roman"/>
          <w:sz w:val="24"/>
          <w:szCs w:val="24"/>
        </w:rPr>
        <w:t xml:space="preserve"> etc. The second part contained </w:t>
      </w:r>
      <w:r w:rsidR="00A27446" w:rsidRPr="00462C0B">
        <w:rPr>
          <w:rFonts w:ascii="Times New Roman" w:hAnsi="Times New Roman" w:cs="Times New Roman"/>
          <w:sz w:val="24"/>
          <w:szCs w:val="24"/>
        </w:rPr>
        <w:t xml:space="preserve">detail on offset design parameters and whether these were analysed as part of the research paper (metric, multiplier, </w:t>
      </w:r>
      <w:proofErr w:type="gramStart"/>
      <w:r w:rsidR="00693EEA" w:rsidRPr="00462C0B">
        <w:rPr>
          <w:rFonts w:ascii="Times New Roman" w:hAnsi="Times New Roman" w:cs="Times New Roman"/>
          <w:sz w:val="24"/>
          <w:szCs w:val="24"/>
        </w:rPr>
        <w:t>time period</w:t>
      </w:r>
      <w:proofErr w:type="gramEnd"/>
      <w:r w:rsidR="00693EEA" w:rsidRPr="00462C0B">
        <w:rPr>
          <w:rFonts w:ascii="Times New Roman" w:hAnsi="Times New Roman" w:cs="Times New Roman"/>
          <w:sz w:val="24"/>
          <w:szCs w:val="24"/>
        </w:rPr>
        <w:t>, scale, contract design</w:t>
      </w:r>
      <w:r w:rsidR="00114A6D" w:rsidRPr="00462C0B">
        <w:rPr>
          <w:rFonts w:ascii="Times New Roman" w:hAnsi="Times New Roman" w:cs="Times New Roman"/>
          <w:sz w:val="24"/>
          <w:szCs w:val="24"/>
        </w:rPr>
        <w:t>, follow up monitoring and enforcement</w:t>
      </w:r>
      <w:r w:rsidR="00693EEA" w:rsidRPr="00462C0B">
        <w:rPr>
          <w:rFonts w:ascii="Times New Roman" w:hAnsi="Times New Roman" w:cs="Times New Roman"/>
          <w:sz w:val="24"/>
          <w:szCs w:val="24"/>
        </w:rPr>
        <w:t>)</w:t>
      </w:r>
      <w:r w:rsidR="00114A6D" w:rsidRPr="00462C0B">
        <w:rPr>
          <w:rFonts w:ascii="Times New Roman" w:hAnsi="Times New Roman" w:cs="Times New Roman"/>
          <w:sz w:val="24"/>
          <w:szCs w:val="24"/>
        </w:rPr>
        <w:t>. The third part reports the main conclusions of the study, alongside the strengths and weaknesses.</w:t>
      </w:r>
      <w:r w:rsidR="00693EEA" w:rsidRPr="00462C0B">
        <w:rPr>
          <w:rFonts w:ascii="Times New Roman" w:hAnsi="Times New Roman" w:cs="Times New Roman"/>
          <w:sz w:val="24"/>
          <w:szCs w:val="24"/>
        </w:rPr>
        <w:t xml:space="preserve"> </w:t>
      </w:r>
      <w:r w:rsidR="007C4A13" w:rsidRPr="00462C0B">
        <w:rPr>
          <w:rFonts w:ascii="Times New Roman" w:hAnsi="Times New Roman" w:cs="Times New Roman"/>
          <w:sz w:val="24"/>
          <w:szCs w:val="24"/>
        </w:rPr>
        <w:t>We provide a detailed</w:t>
      </w:r>
      <w:r w:rsidR="00C8766F" w:rsidRPr="00462C0B">
        <w:rPr>
          <w:rFonts w:ascii="Times New Roman" w:hAnsi="Times New Roman" w:cs="Times New Roman"/>
          <w:sz w:val="24"/>
          <w:szCs w:val="24"/>
        </w:rPr>
        <w:t xml:space="preserve"> summary of</w:t>
      </w:r>
      <w:r w:rsidR="00B47F05" w:rsidRPr="00462C0B">
        <w:rPr>
          <w:rFonts w:ascii="Times New Roman" w:hAnsi="Times New Roman" w:cs="Times New Roman"/>
          <w:sz w:val="24"/>
          <w:szCs w:val="24"/>
        </w:rPr>
        <w:t xml:space="preserve"> these data in an </w:t>
      </w:r>
      <w:r w:rsidR="00114A6D" w:rsidRPr="00462C0B">
        <w:rPr>
          <w:rFonts w:ascii="Times New Roman" w:hAnsi="Times New Roman" w:cs="Times New Roman"/>
          <w:sz w:val="24"/>
          <w:szCs w:val="24"/>
        </w:rPr>
        <w:t>E</w:t>
      </w:r>
      <w:r w:rsidR="00B47F05" w:rsidRPr="00462C0B">
        <w:rPr>
          <w:rFonts w:ascii="Times New Roman" w:hAnsi="Times New Roman" w:cs="Times New Roman"/>
          <w:sz w:val="24"/>
          <w:szCs w:val="24"/>
        </w:rPr>
        <w:t xml:space="preserve">xcel sheet </w:t>
      </w:r>
      <w:r w:rsidR="007C4A13" w:rsidRPr="00462C0B">
        <w:rPr>
          <w:rFonts w:ascii="Times New Roman" w:hAnsi="Times New Roman" w:cs="Times New Roman"/>
          <w:sz w:val="24"/>
          <w:szCs w:val="24"/>
        </w:rPr>
        <w:t>(</w:t>
      </w:r>
      <w:r w:rsidR="00B47F05" w:rsidRPr="00462C0B">
        <w:rPr>
          <w:rFonts w:ascii="Times New Roman" w:hAnsi="Times New Roman" w:cs="Times New Roman"/>
          <w:sz w:val="24"/>
          <w:szCs w:val="24"/>
        </w:rPr>
        <w:t xml:space="preserve">see </w:t>
      </w:r>
      <w:r w:rsidR="00AA428D" w:rsidRPr="00462C0B">
        <w:rPr>
          <w:rFonts w:ascii="Times New Roman" w:hAnsi="Times New Roman" w:cs="Times New Roman"/>
          <w:sz w:val="24"/>
          <w:szCs w:val="24"/>
        </w:rPr>
        <w:t>S</w:t>
      </w:r>
      <w:r w:rsidR="007C4A13" w:rsidRPr="00462C0B">
        <w:rPr>
          <w:rFonts w:ascii="Times New Roman" w:hAnsi="Times New Roman" w:cs="Times New Roman"/>
          <w:sz w:val="24"/>
          <w:szCs w:val="24"/>
        </w:rPr>
        <w:t>upplementary</w:t>
      </w:r>
      <w:r w:rsidR="00B47F05" w:rsidRPr="00462C0B">
        <w:rPr>
          <w:rFonts w:ascii="Times New Roman" w:hAnsi="Times New Roman" w:cs="Times New Roman"/>
          <w:sz w:val="24"/>
          <w:szCs w:val="24"/>
        </w:rPr>
        <w:t xml:space="preserve"> </w:t>
      </w:r>
      <w:r w:rsidR="00AA428D" w:rsidRPr="00462C0B">
        <w:rPr>
          <w:rFonts w:ascii="Times New Roman" w:hAnsi="Times New Roman" w:cs="Times New Roman"/>
          <w:sz w:val="24"/>
          <w:szCs w:val="24"/>
        </w:rPr>
        <w:t>M</w:t>
      </w:r>
      <w:r w:rsidR="00B47F05" w:rsidRPr="00462C0B">
        <w:rPr>
          <w:rFonts w:ascii="Times New Roman" w:hAnsi="Times New Roman" w:cs="Times New Roman"/>
          <w:sz w:val="24"/>
          <w:szCs w:val="24"/>
        </w:rPr>
        <w:t>aterial</w:t>
      </w:r>
      <w:r w:rsidR="007C4A13" w:rsidRPr="00462C0B">
        <w:rPr>
          <w:rFonts w:ascii="Times New Roman" w:hAnsi="Times New Roman" w:cs="Times New Roman"/>
          <w:sz w:val="24"/>
          <w:szCs w:val="24"/>
        </w:rPr>
        <w:t xml:space="preserve"> 1)</w:t>
      </w:r>
      <w:r w:rsidR="00C8766F" w:rsidRPr="00462C0B">
        <w:rPr>
          <w:rFonts w:ascii="Times New Roman" w:hAnsi="Times New Roman" w:cs="Times New Roman"/>
          <w:sz w:val="24"/>
          <w:szCs w:val="24"/>
        </w:rPr>
        <w:t>.</w:t>
      </w:r>
    </w:p>
    <w:p w14:paraId="39C6917C" w14:textId="77777777" w:rsidR="00FE1796" w:rsidRPr="00462C0B" w:rsidRDefault="00FE1796" w:rsidP="00114A6D">
      <w:pPr>
        <w:pStyle w:val="Heading2"/>
      </w:pPr>
      <w:r w:rsidRPr="00462C0B">
        <w:t>Data analysis strategy</w:t>
      </w:r>
    </w:p>
    <w:p w14:paraId="2E505A39" w14:textId="3090A817" w:rsidR="007875AE" w:rsidRDefault="00FE1796" w:rsidP="00703682">
      <w:pPr>
        <w:spacing w:line="360" w:lineRule="auto"/>
        <w:rPr>
          <w:rFonts w:ascii="Times New Roman" w:hAnsi="Times New Roman" w:cs="Times New Roman"/>
          <w:sz w:val="24"/>
          <w:szCs w:val="24"/>
        </w:rPr>
      </w:pPr>
      <w:r w:rsidRPr="00462C0B">
        <w:rPr>
          <w:rFonts w:ascii="Times New Roman" w:hAnsi="Times New Roman" w:cs="Times New Roman"/>
          <w:sz w:val="24"/>
          <w:szCs w:val="24"/>
        </w:rPr>
        <w:t>We thematically and descriptively synthesized our literature to draw interpretations and conclusions.</w:t>
      </w:r>
    </w:p>
    <w:p w14:paraId="388D4403" w14:textId="77777777" w:rsidR="00703682" w:rsidRDefault="00703682" w:rsidP="00703682">
      <w:pPr>
        <w:spacing w:line="360" w:lineRule="auto"/>
        <w:rPr>
          <w:rFonts w:ascii="Times New Roman" w:hAnsi="Times New Roman" w:cs="Times New Roman"/>
          <w:sz w:val="24"/>
          <w:szCs w:val="24"/>
        </w:rPr>
      </w:pPr>
    </w:p>
    <w:p w14:paraId="09A35F0D" w14:textId="77777777" w:rsidR="008F22D5" w:rsidRPr="00462C0B" w:rsidRDefault="008F22D5" w:rsidP="00397C33">
      <w:pPr>
        <w:spacing w:line="360" w:lineRule="auto"/>
        <w:rPr>
          <w:rFonts w:ascii="Times New Roman" w:hAnsi="Times New Roman" w:cs="Times New Roman"/>
          <w:sz w:val="2"/>
          <w:szCs w:val="2"/>
        </w:rPr>
      </w:pPr>
    </w:p>
    <w:p w14:paraId="1D763D5D" w14:textId="77777777" w:rsidR="008F22D5" w:rsidRPr="00462C0B" w:rsidRDefault="008F22D5" w:rsidP="00397C33">
      <w:pPr>
        <w:spacing w:line="360" w:lineRule="auto"/>
        <w:rPr>
          <w:rFonts w:ascii="Times New Roman" w:hAnsi="Times New Roman" w:cs="Times New Roman"/>
          <w:sz w:val="2"/>
          <w:szCs w:val="2"/>
        </w:rPr>
      </w:pPr>
    </w:p>
    <w:p w14:paraId="7083B774" w14:textId="10801313" w:rsidR="00CE4C44" w:rsidRPr="00462C0B" w:rsidRDefault="00CE4C44" w:rsidP="00F3735E">
      <w:pPr>
        <w:pStyle w:val="Heading1"/>
      </w:pPr>
      <w:r w:rsidRPr="00462C0B">
        <w:lastRenderedPageBreak/>
        <w:t>Results</w:t>
      </w:r>
    </w:p>
    <w:p w14:paraId="503902AD" w14:textId="79F5910B" w:rsidR="002E0D7C" w:rsidRPr="00462C0B" w:rsidRDefault="00CE4C44" w:rsidP="00397C33">
      <w:pPr>
        <w:spacing w:line="360" w:lineRule="auto"/>
        <w:rPr>
          <w:rFonts w:ascii="Times New Roman" w:hAnsi="Times New Roman" w:cs="Times New Roman"/>
          <w:sz w:val="24"/>
          <w:szCs w:val="24"/>
        </w:rPr>
      </w:pPr>
      <w:r w:rsidRPr="00462C0B">
        <w:rPr>
          <w:rFonts w:ascii="Times New Roman" w:hAnsi="Times New Roman" w:cs="Times New Roman"/>
          <w:sz w:val="24"/>
          <w:szCs w:val="24"/>
        </w:rPr>
        <w:t>Our search</w:t>
      </w:r>
      <w:r w:rsidR="00D8608D" w:rsidRPr="00462C0B">
        <w:rPr>
          <w:rFonts w:ascii="Times New Roman" w:hAnsi="Times New Roman" w:cs="Times New Roman"/>
          <w:sz w:val="24"/>
          <w:szCs w:val="24"/>
        </w:rPr>
        <w:t xml:space="preserve"> using different combinations of our keywords in Web of Science and Scopus </w:t>
      </w:r>
      <w:r w:rsidRPr="00462C0B">
        <w:rPr>
          <w:rFonts w:ascii="Times New Roman" w:hAnsi="Times New Roman" w:cs="Times New Roman"/>
          <w:sz w:val="24"/>
          <w:szCs w:val="24"/>
        </w:rPr>
        <w:t xml:space="preserve">gave us a total of </w:t>
      </w:r>
      <w:r w:rsidR="00562D42" w:rsidRPr="00462C0B">
        <w:rPr>
          <w:rFonts w:ascii="Times New Roman" w:hAnsi="Times New Roman" w:cs="Times New Roman"/>
          <w:sz w:val="24"/>
          <w:szCs w:val="24"/>
        </w:rPr>
        <w:t xml:space="preserve">608 </w:t>
      </w:r>
      <w:r w:rsidR="00280E6F" w:rsidRPr="00462C0B">
        <w:rPr>
          <w:rFonts w:ascii="Times New Roman" w:hAnsi="Times New Roman" w:cs="Times New Roman"/>
          <w:sz w:val="24"/>
          <w:szCs w:val="24"/>
        </w:rPr>
        <w:t>articles</w:t>
      </w:r>
      <w:r w:rsidR="00D8608D" w:rsidRPr="00462C0B">
        <w:rPr>
          <w:rFonts w:ascii="Times New Roman" w:hAnsi="Times New Roman" w:cs="Times New Roman"/>
          <w:sz w:val="24"/>
          <w:szCs w:val="24"/>
        </w:rPr>
        <w:t xml:space="preserve"> </w:t>
      </w:r>
      <w:r w:rsidR="00280E6F" w:rsidRPr="00462C0B">
        <w:rPr>
          <w:rFonts w:ascii="Times New Roman" w:hAnsi="Times New Roman" w:cs="Times New Roman"/>
          <w:sz w:val="24"/>
          <w:szCs w:val="24"/>
        </w:rPr>
        <w:t xml:space="preserve">out of </w:t>
      </w:r>
      <w:r w:rsidR="00D8608D" w:rsidRPr="00462C0B">
        <w:rPr>
          <w:rFonts w:ascii="Times New Roman" w:hAnsi="Times New Roman" w:cs="Times New Roman"/>
          <w:sz w:val="24"/>
          <w:szCs w:val="24"/>
        </w:rPr>
        <w:t xml:space="preserve">which </w:t>
      </w:r>
      <w:r w:rsidR="001B7B71" w:rsidRPr="00462C0B">
        <w:rPr>
          <w:rFonts w:ascii="Times New Roman" w:hAnsi="Times New Roman" w:cs="Times New Roman"/>
          <w:sz w:val="24"/>
          <w:szCs w:val="24"/>
        </w:rPr>
        <w:t>42</w:t>
      </w:r>
      <w:r w:rsidR="00280E6F" w:rsidRPr="00462C0B">
        <w:rPr>
          <w:rFonts w:ascii="Times New Roman" w:hAnsi="Times New Roman" w:cs="Times New Roman"/>
          <w:sz w:val="24"/>
          <w:szCs w:val="24"/>
        </w:rPr>
        <w:t xml:space="preserve"> articles </w:t>
      </w:r>
      <w:r w:rsidR="00D8608D" w:rsidRPr="00462C0B">
        <w:rPr>
          <w:rFonts w:ascii="Times New Roman" w:hAnsi="Times New Roman" w:cs="Times New Roman"/>
          <w:sz w:val="24"/>
          <w:szCs w:val="24"/>
        </w:rPr>
        <w:t>met our set criteria for inclusion in our review</w:t>
      </w:r>
      <w:r w:rsidR="00EF4397" w:rsidRPr="00462C0B">
        <w:rPr>
          <w:rFonts w:ascii="Times New Roman" w:hAnsi="Times New Roman" w:cs="Times New Roman"/>
          <w:sz w:val="24"/>
          <w:szCs w:val="24"/>
        </w:rPr>
        <w:t xml:space="preserve"> (Figure 1)</w:t>
      </w:r>
      <w:r w:rsidR="00D8608D" w:rsidRPr="00462C0B">
        <w:rPr>
          <w:rFonts w:ascii="Times New Roman" w:hAnsi="Times New Roman" w:cs="Times New Roman"/>
          <w:sz w:val="24"/>
          <w:szCs w:val="24"/>
        </w:rPr>
        <w:t>.</w:t>
      </w:r>
      <w:r w:rsidR="00856179" w:rsidRPr="00462C0B">
        <w:rPr>
          <w:rFonts w:ascii="Times New Roman" w:hAnsi="Times New Roman" w:cs="Times New Roman"/>
          <w:sz w:val="24"/>
          <w:szCs w:val="24"/>
        </w:rPr>
        <w:t xml:space="preserve"> </w:t>
      </w:r>
      <w:r w:rsidR="002E0D7C" w:rsidRPr="00462C0B">
        <w:rPr>
          <w:rFonts w:ascii="Times New Roman" w:hAnsi="Times New Roman" w:cs="Times New Roman"/>
          <w:sz w:val="24"/>
          <w:szCs w:val="24"/>
        </w:rPr>
        <w:t xml:space="preserve">Studies selected for this review were published between 1999 – 2022 and were carried out in </w:t>
      </w:r>
      <w:r w:rsidR="00A42C3C" w:rsidRPr="00462C0B">
        <w:rPr>
          <w:rFonts w:ascii="Times New Roman" w:hAnsi="Times New Roman" w:cs="Times New Roman"/>
          <w:sz w:val="24"/>
          <w:szCs w:val="24"/>
        </w:rPr>
        <w:t xml:space="preserve">nine countries. </w:t>
      </w:r>
      <w:r w:rsidR="00285F5A" w:rsidRPr="00462C0B">
        <w:rPr>
          <w:rFonts w:ascii="Times New Roman" w:hAnsi="Times New Roman" w:cs="Times New Roman"/>
          <w:sz w:val="24"/>
          <w:szCs w:val="24"/>
        </w:rPr>
        <w:t>20</w:t>
      </w:r>
      <w:r w:rsidR="001A45D6" w:rsidRPr="00462C0B">
        <w:rPr>
          <w:rFonts w:ascii="Times New Roman" w:hAnsi="Times New Roman" w:cs="Times New Roman"/>
          <w:sz w:val="24"/>
          <w:szCs w:val="24"/>
        </w:rPr>
        <w:t xml:space="preserve"> of the studies identified were from the USA</w:t>
      </w:r>
      <w:r w:rsidR="00F95CD6" w:rsidRPr="00462C0B">
        <w:rPr>
          <w:rFonts w:ascii="Times New Roman" w:hAnsi="Times New Roman" w:cs="Times New Roman"/>
          <w:sz w:val="24"/>
          <w:szCs w:val="24"/>
        </w:rPr>
        <w:t xml:space="preserve"> dating back to 1999</w:t>
      </w:r>
      <w:r w:rsidR="001B4361" w:rsidRPr="00462C0B">
        <w:rPr>
          <w:rFonts w:ascii="Times New Roman" w:hAnsi="Times New Roman" w:cs="Times New Roman"/>
          <w:sz w:val="24"/>
          <w:szCs w:val="24"/>
        </w:rPr>
        <w:t>,</w:t>
      </w:r>
      <w:r w:rsidR="001A45D6" w:rsidRPr="00462C0B">
        <w:rPr>
          <w:rFonts w:ascii="Times New Roman" w:hAnsi="Times New Roman" w:cs="Times New Roman"/>
          <w:sz w:val="24"/>
          <w:szCs w:val="24"/>
        </w:rPr>
        <w:t xml:space="preserve"> which is unsurprising given the</w:t>
      </w:r>
      <w:r w:rsidR="00407F28" w:rsidRPr="00462C0B">
        <w:rPr>
          <w:rFonts w:ascii="Times New Roman" w:hAnsi="Times New Roman" w:cs="Times New Roman"/>
          <w:sz w:val="24"/>
          <w:szCs w:val="24"/>
        </w:rPr>
        <w:t xml:space="preserve"> history of wetland mitigation banking in the country. </w:t>
      </w:r>
      <w:r w:rsidR="00285F5A" w:rsidRPr="00462C0B">
        <w:rPr>
          <w:rFonts w:ascii="Times New Roman" w:hAnsi="Times New Roman" w:cs="Times New Roman"/>
          <w:sz w:val="24"/>
          <w:szCs w:val="24"/>
        </w:rPr>
        <w:t xml:space="preserve">8 </w:t>
      </w:r>
      <w:r w:rsidR="00F95CD6" w:rsidRPr="00462C0B">
        <w:rPr>
          <w:rFonts w:ascii="Times New Roman" w:hAnsi="Times New Roman" w:cs="Times New Roman"/>
          <w:sz w:val="24"/>
          <w:szCs w:val="24"/>
        </w:rPr>
        <w:t xml:space="preserve">focussed on the UK, </w:t>
      </w:r>
      <w:r w:rsidR="00B6132E" w:rsidRPr="00462C0B">
        <w:rPr>
          <w:rFonts w:ascii="Times New Roman" w:hAnsi="Times New Roman" w:cs="Times New Roman"/>
          <w:sz w:val="24"/>
          <w:szCs w:val="24"/>
        </w:rPr>
        <w:t>with the first study published in 201</w:t>
      </w:r>
      <w:r w:rsidR="001B4361" w:rsidRPr="00462C0B">
        <w:rPr>
          <w:rFonts w:ascii="Times New Roman" w:hAnsi="Times New Roman" w:cs="Times New Roman"/>
          <w:sz w:val="24"/>
          <w:szCs w:val="24"/>
        </w:rPr>
        <w:t>4</w:t>
      </w:r>
      <w:r w:rsidR="00B6132E" w:rsidRPr="00462C0B">
        <w:rPr>
          <w:rFonts w:ascii="Times New Roman" w:hAnsi="Times New Roman" w:cs="Times New Roman"/>
          <w:sz w:val="24"/>
          <w:szCs w:val="24"/>
        </w:rPr>
        <w:t xml:space="preserve">, reflecting the shift in favour </w:t>
      </w:r>
      <w:r w:rsidR="00831E49" w:rsidRPr="00462C0B">
        <w:rPr>
          <w:rFonts w:ascii="Times New Roman" w:hAnsi="Times New Roman" w:cs="Times New Roman"/>
          <w:sz w:val="24"/>
          <w:szCs w:val="24"/>
        </w:rPr>
        <w:t>of biodiversity</w:t>
      </w:r>
      <w:r w:rsidR="00B6132E" w:rsidRPr="00462C0B">
        <w:rPr>
          <w:rFonts w:ascii="Times New Roman" w:hAnsi="Times New Roman" w:cs="Times New Roman"/>
          <w:sz w:val="24"/>
          <w:szCs w:val="24"/>
        </w:rPr>
        <w:t xml:space="preserve"> offsetting from 2011 within UK environmental policy. </w:t>
      </w:r>
      <w:r w:rsidR="00831E49" w:rsidRPr="00462C0B">
        <w:rPr>
          <w:rFonts w:ascii="Times New Roman" w:hAnsi="Times New Roman" w:cs="Times New Roman"/>
          <w:sz w:val="24"/>
          <w:szCs w:val="24"/>
        </w:rPr>
        <w:t xml:space="preserve">Other countries </w:t>
      </w:r>
      <w:r w:rsidR="001B4361" w:rsidRPr="00462C0B">
        <w:rPr>
          <w:rFonts w:ascii="Times New Roman" w:hAnsi="Times New Roman" w:cs="Times New Roman"/>
          <w:sz w:val="24"/>
          <w:szCs w:val="24"/>
        </w:rPr>
        <w:t xml:space="preserve">studied </w:t>
      </w:r>
      <w:r w:rsidR="00831E49" w:rsidRPr="00462C0B">
        <w:rPr>
          <w:rFonts w:ascii="Times New Roman" w:hAnsi="Times New Roman" w:cs="Times New Roman"/>
          <w:sz w:val="24"/>
          <w:szCs w:val="24"/>
        </w:rPr>
        <w:t xml:space="preserve">included Australia, </w:t>
      </w:r>
      <w:r w:rsidR="007F7454" w:rsidRPr="00462C0B">
        <w:rPr>
          <w:rFonts w:ascii="Times New Roman" w:hAnsi="Times New Roman" w:cs="Times New Roman"/>
          <w:sz w:val="24"/>
          <w:szCs w:val="24"/>
        </w:rPr>
        <w:t xml:space="preserve">Canada, China, Finland, </w:t>
      </w:r>
      <w:r w:rsidR="00831E49" w:rsidRPr="00462C0B">
        <w:rPr>
          <w:rFonts w:ascii="Times New Roman" w:hAnsi="Times New Roman" w:cs="Times New Roman"/>
          <w:sz w:val="24"/>
          <w:szCs w:val="24"/>
        </w:rPr>
        <w:t>France, German</w:t>
      </w:r>
      <w:r w:rsidR="007F7454" w:rsidRPr="00462C0B">
        <w:rPr>
          <w:rFonts w:ascii="Times New Roman" w:hAnsi="Times New Roman" w:cs="Times New Roman"/>
          <w:sz w:val="24"/>
          <w:szCs w:val="24"/>
        </w:rPr>
        <w:t xml:space="preserve"> </w:t>
      </w:r>
      <w:r w:rsidR="00831E49" w:rsidRPr="00462C0B">
        <w:rPr>
          <w:rFonts w:ascii="Times New Roman" w:hAnsi="Times New Roman" w:cs="Times New Roman"/>
          <w:sz w:val="24"/>
          <w:szCs w:val="24"/>
        </w:rPr>
        <w:t xml:space="preserve">and Sweden. </w:t>
      </w:r>
      <w:r w:rsidR="007F7454" w:rsidRPr="00462C0B">
        <w:rPr>
          <w:rFonts w:ascii="Times New Roman" w:hAnsi="Times New Roman" w:cs="Times New Roman"/>
          <w:sz w:val="24"/>
          <w:szCs w:val="24"/>
        </w:rPr>
        <w:t xml:space="preserve">As previously stated, the focus on English language academic </w:t>
      </w:r>
      <w:r w:rsidR="00F34604" w:rsidRPr="00462C0B">
        <w:rPr>
          <w:rFonts w:ascii="Times New Roman" w:hAnsi="Times New Roman" w:cs="Times New Roman"/>
          <w:sz w:val="24"/>
          <w:szCs w:val="24"/>
        </w:rPr>
        <w:t>publications</w:t>
      </w:r>
      <w:r w:rsidR="007F7454" w:rsidRPr="00462C0B">
        <w:rPr>
          <w:rFonts w:ascii="Times New Roman" w:hAnsi="Times New Roman" w:cs="Times New Roman"/>
          <w:sz w:val="24"/>
          <w:szCs w:val="24"/>
        </w:rPr>
        <w:t xml:space="preserve"> only may have limited papers available discussing offset schemes in Central and South America, Africa and </w:t>
      </w:r>
      <w:r w:rsidR="00F34604" w:rsidRPr="00462C0B">
        <w:rPr>
          <w:rFonts w:ascii="Times New Roman" w:hAnsi="Times New Roman" w:cs="Times New Roman"/>
          <w:sz w:val="24"/>
          <w:szCs w:val="24"/>
        </w:rPr>
        <w:t xml:space="preserve">Asia where we recognise a high number of offset projects are taking place (Bull and Strange 2018). </w:t>
      </w:r>
    </w:p>
    <w:p w14:paraId="343F5F50" w14:textId="26FF43F1" w:rsidR="00EB0224" w:rsidRPr="00462C0B" w:rsidRDefault="00EB0224" w:rsidP="00397C33">
      <w:pPr>
        <w:spacing w:line="360" w:lineRule="auto"/>
        <w:rPr>
          <w:rFonts w:ascii="Times New Roman" w:hAnsi="Times New Roman" w:cs="Times New Roman"/>
          <w:sz w:val="24"/>
          <w:szCs w:val="24"/>
        </w:rPr>
      </w:pPr>
    </w:p>
    <w:p w14:paraId="4CE49D4A" w14:textId="77777777" w:rsidR="001B4361" w:rsidRPr="00462C0B" w:rsidRDefault="00397C33" w:rsidP="001B4361">
      <w:pPr>
        <w:keepNext/>
        <w:spacing w:line="360" w:lineRule="auto"/>
        <w:jc w:val="both"/>
      </w:pPr>
      <w:r w:rsidRPr="00462C0B">
        <w:rPr>
          <w:rFonts w:ascii="Times New Roman" w:hAnsi="Times New Roman" w:cs="Times New Roman"/>
          <w:noProof/>
          <w:sz w:val="24"/>
          <w:szCs w:val="24"/>
        </w:rPr>
        <w:lastRenderedPageBreak/>
        <w:drawing>
          <wp:inline distT="0" distB="0" distL="0" distR="0" wp14:anchorId="18C713A9" wp14:editId="03779C58">
            <wp:extent cx="5731510" cy="8045925"/>
            <wp:effectExtent l="0" t="0" r="0" b="12700"/>
            <wp:docPr id="5" name="Diagram 5">
              <a:extLst xmlns:a="http://schemas.openxmlformats.org/drawingml/2006/main">
                <a:ext uri="{FF2B5EF4-FFF2-40B4-BE49-F238E27FC236}">
                  <a16:creationId xmlns:a16="http://schemas.microsoft.com/office/drawing/2014/main" id="{CE13DA8C-18C4-4D08-924B-88166F649B0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68CCA6C" w14:textId="458AB259" w:rsidR="00397C33" w:rsidRPr="00462C0B" w:rsidRDefault="001B4361" w:rsidP="001B4361">
      <w:pPr>
        <w:pStyle w:val="Caption"/>
        <w:jc w:val="both"/>
        <w:rPr>
          <w:rFonts w:asciiTheme="majorBidi" w:hAnsiTheme="majorBidi" w:cstheme="majorBidi"/>
          <w:i w:val="0"/>
          <w:iCs w:val="0"/>
          <w:color w:val="auto"/>
          <w:sz w:val="20"/>
          <w:szCs w:val="20"/>
        </w:rPr>
      </w:pPr>
      <w:r w:rsidRPr="003E3C57">
        <w:rPr>
          <w:rFonts w:asciiTheme="majorBidi" w:hAnsiTheme="majorBidi" w:cstheme="majorBidi"/>
          <w:b/>
          <w:bCs/>
          <w:i w:val="0"/>
          <w:iCs w:val="0"/>
          <w:color w:val="auto"/>
          <w:sz w:val="20"/>
          <w:szCs w:val="20"/>
        </w:rPr>
        <w:t xml:space="preserve">Figure </w:t>
      </w:r>
      <w:r w:rsidRPr="003E3C57">
        <w:rPr>
          <w:rFonts w:asciiTheme="majorBidi" w:hAnsiTheme="majorBidi" w:cstheme="majorBidi"/>
          <w:b/>
          <w:bCs/>
          <w:i w:val="0"/>
          <w:iCs w:val="0"/>
          <w:color w:val="auto"/>
          <w:sz w:val="20"/>
          <w:szCs w:val="20"/>
        </w:rPr>
        <w:fldChar w:fldCharType="begin"/>
      </w:r>
      <w:r w:rsidRPr="003E3C57">
        <w:rPr>
          <w:rFonts w:asciiTheme="majorBidi" w:hAnsiTheme="majorBidi" w:cstheme="majorBidi"/>
          <w:b/>
          <w:bCs/>
          <w:i w:val="0"/>
          <w:iCs w:val="0"/>
          <w:color w:val="auto"/>
          <w:sz w:val="20"/>
          <w:szCs w:val="20"/>
        </w:rPr>
        <w:instrText xml:space="preserve"> SEQ Figure \* ARABIC </w:instrText>
      </w:r>
      <w:r w:rsidRPr="003E3C57">
        <w:rPr>
          <w:rFonts w:asciiTheme="majorBidi" w:hAnsiTheme="majorBidi" w:cstheme="majorBidi"/>
          <w:b/>
          <w:bCs/>
          <w:i w:val="0"/>
          <w:iCs w:val="0"/>
          <w:color w:val="auto"/>
          <w:sz w:val="20"/>
          <w:szCs w:val="20"/>
        </w:rPr>
        <w:fldChar w:fldCharType="separate"/>
      </w:r>
      <w:r w:rsidR="0038043E">
        <w:rPr>
          <w:rFonts w:asciiTheme="majorBidi" w:hAnsiTheme="majorBidi" w:cstheme="majorBidi"/>
          <w:b/>
          <w:bCs/>
          <w:i w:val="0"/>
          <w:iCs w:val="0"/>
          <w:noProof/>
          <w:color w:val="auto"/>
          <w:sz w:val="20"/>
          <w:szCs w:val="20"/>
        </w:rPr>
        <w:t>1</w:t>
      </w:r>
      <w:r w:rsidRPr="003E3C57">
        <w:rPr>
          <w:rFonts w:asciiTheme="majorBidi" w:hAnsiTheme="majorBidi" w:cstheme="majorBidi"/>
          <w:b/>
          <w:bCs/>
          <w:i w:val="0"/>
          <w:iCs w:val="0"/>
          <w:color w:val="auto"/>
          <w:sz w:val="20"/>
          <w:szCs w:val="20"/>
        </w:rPr>
        <w:fldChar w:fldCharType="end"/>
      </w:r>
      <w:r w:rsidRPr="00462C0B">
        <w:rPr>
          <w:rFonts w:asciiTheme="majorBidi" w:hAnsiTheme="majorBidi" w:cstheme="majorBidi"/>
          <w:i w:val="0"/>
          <w:iCs w:val="0"/>
          <w:color w:val="auto"/>
          <w:sz w:val="20"/>
          <w:szCs w:val="20"/>
        </w:rPr>
        <w:t>: The literature screening process</w:t>
      </w:r>
    </w:p>
    <w:p w14:paraId="7E6D9E5D" w14:textId="6899F7A0" w:rsidR="00407877" w:rsidRPr="00462C0B" w:rsidRDefault="00164BE2" w:rsidP="00397C33">
      <w:pPr>
        <w:spacing w:line="360" w:lineRule="auto"/>
        <w:rPr>
          <w:rFonts w:ascii="Times New Roman" w:hAnsi="Times New Roman" w:cs="Times New Roman"/>
          <w:sz w:val="24"/>
          <w:szCs w:val="24"/>
        </w:rPr>
      </w:pPr>
      <w:r w:rsidRPr="00462C0B">
        <w:rPr>
          <w:rFonts w:ascii="Times New Roman" w:hAnsi="Times New Roman" w:cs="Times New Roman"/>
          <w:sz w:val="24"/>
          <w:szCs w:val="24"/>
        </w:rPr>
        <w:lastRenderedPageBreak/>
        <w:t>We grouped our articles by broad themes related to the design and implementation of markets for biodiversity offsets</w:t>
      </w:r>
      <w:r w:rsidR="00B25537" w:rsidRPr="00462C0B">
        <w:rPr>
          <w:rFonts w:ascii="Times New Roman" w:hAnsi="Times New Roman" w:cs="Times New Roman"/>
          <w:sz w:val="24"/>
          <w:szCs w:val="24"/>
        </w:rPr>
        <w:t xml:space="preserve"> based on key design parameters previously identified in </w:t>
      </w:r>
      <w:r w:rsidR="004C275F" w:rsidRPr="00462C0B">
        <w:rPr>
          <w:rFonts w:ascii="Times New Roman" w:hAnsi="Times New Roman" w:cs="Times New Roman"/>
          <w:sz w:val="24"/>
          <w:szCs w:val="24"/>
        </w:rPr>
        <w:t xml:space="preserve">the </w:t>
      </w:r>
      <w:r w:rsidR="00B25537" w:rsidRPr="00462C0B">
        <w:rPr>
          <w:rFonts w:ascii="Times New Roman" w:hAnsi="Times New Roman" w:cs="Times New Roman"/>
          <w:sz w:val="24"/>
          <w:szCs w:val="24"/>
        </w:rPr>
        <w:t xml:space="preserve">biodiversity offset market literature (Needham </w:t>
      </w:r>
      <w:r w:rsidR="00B25537" w:rsidRPr="00462C0B">
        <w:rPr>
          <w:rFonts w:ascii="Times New Roman" w:hAnsi="Times New Roman" w:cs="Times New Roman"/>
          <w:i/>
          <w:iCs/>
          <w:sz w:val="24"/>
          <w:szCs w:val="24"/>
        </w:rPr>
        <w:t>et al.</w:t>
      </w:r>
      <w:r w:rsidR="00B25537" w:rsidRPr="00462C0B">
        <w:rPr>
          <w:rFonts w:ascii="Times New Roman" w:hAnsi="Times New Roman" w:cs="Times New Roman"/>
          <w:sz w:val="24"/>
          <w:szCs w:val="24"/>
        </w:rPr>
        <w:t xml:space="preserve"> 2019)</w:t>
      </w:r>
      <w:r w:rsidR="00C36596" w:rsidRPr="00462C0B">
        <w:rPr>
          <w:rFonts w:ascii="Times New Roman" w:hAnsi="Times New Roman" w:cs="Times New Roman"/>
          <w:sz w:val="24"/>
          <w:szCs w:val="24"/>
        </w:rPr>
        <w:t xml:space="preserve">. </w:t>
      </w:r>
      <w:r w:rsidR="008D0AF6" w:rsidRPr="00462C0B">
        <w:rPr>
          <w:rFonts w:ascii="Times New Roman" w:hAnsi="Times New Roman" w:cs="Times New Roman"/>
          <w:sz w:val="24"/>
          <w:szCs w:val="24"/>
        </w:rPr>
        <w:t xml:space="preserve">These themes covered technical choices (metrics, proximity and ecological constraints) and practical considerations (contracts, policy stability and expertise).  </w:t>
      </w:r>
      <w:r w:rsidR="00E709BE" w:rsidRPr="00462C0B">
        <w:rPr>
          <w:rFonts w:ascii="Times New Roman" w:hAnsi="Times New Roman" w:cs="Times New Roman"/>
          <w:sz w:val="24"/>
          <w:szCs w:val="24"/>
        </w:rPr>
        <w:t>Given the prominence of articles f</w:t>
      </w:r>
      <w:r w:rsidR="00AB0AD9" w:rsidRPr="00462C0B">
        <w:rPr>
          <w:rFonts w:ascii="Times New Roman" w:hAnsi="Times New Roman" w:cs="Times New Roman"/>
          <w:sz w:val="24"/>
          <w:szCs w:val="24"/>
        </w:rPr>
        <w:t>ro</w:t>
      </w:r>
      <w:r w:rsidR="00E709BE" w:rsidRPr="00462C0B">
        <w:rPr>
          <w:rFonts w:ascii="Times New Roman" w:hAnsi="Times New Roman" w:cs="Times New Roman"/>
          <w:sz w:val="24"/>
          <w:szCs w:val="24"/>
        </w:rPr>
        <w:t xml:space="preserve">m the USA and the UK, </w:t>
      </w:r>
      <w:r w:rsidR="00723750" w:rsidRPr="00723750">
        <w:rPr>
          <w:rFonts w:ascii="Times New Roman" w:hAnsi="Times New Roman" w:cs="Times New Roman"/>
          <w:sz w:val="24"/>
          <w:szCs w:val="24"/>
        </w:rPr>
        <w:t xml:space="preserve"> </w:t>
      </w:r>
      <w:r w:rsidR="00723750">
        <w:rPr>
          <w:rFonts w:ascii="Times New Roman" w:hAnsi="Times New Roman" w:cs="Times New Roman"/>
          <w:sz w:val="24"/>
          <w:szCs w:val="24"/>
        </w:rPr>
        <w:t>system</w:t>
      </w:r>
      <w:r w:rsidR="00723750" w:rsidRPr="00462C0B">
        <w:rPr>
          <w:rFonts w:ascii="Times New Roman" w:hAnsi="Times New Roman" w:cs="Times New Roman"/>
          <w:sz w:val="24"/>
          <w:szCs w:val="24"/>
        </w:rPr>
        <w:t xml:space="preserve"> </w:t>
      </w:r>
      <w:r w:rsidR="00E709BE" w:rsidRPr="00462C0B">
        <w:rPr>
          <w:rFonts w:ascii="Times New Roman" w:hAnsi="Times New Roman" w:cs="Times New Roman"/>
          <w:sz w:val="24"/>
          <w:szCs w:val="24"/>
        </w:rPr>
        <w:t xml:space="preserve">we first outline </w:t>
      </w:r>
      <w:r w:rsidR="00407877" w:rsidRPr="00462C0B">
        <w:rPr>
          <w:rFonts w:ascii="Times New Roman" w:hAnsi="Times New Roman" w:cs="Times New Roman"/>
          <w:sz w:val="24"/>
          <w:szCs w:val="24"/>
        </w:rPr>
        <w:t>policies relating to offset markets in these countries</w:t>
      </w:r>
      <w:r w:rsidR="00723750">
        <w:rPr>
          <w:rFonts w:ascii="Times New Roman" w:hAnsi="Times New Roman" w:cs="Times New Roman"/>
          <w:sz w:val="24"/>
          <w:szCs w:val="24"/>
        </w:rPr>
        <w:t xml:space="preserve">. We also provide an overview of the Australian policies given the impact of these on the design of offsets in the UK. We then discuss the </w:t>
      </w:r>
      <w:r w:rsidR="00407877" w:rsidRPr="00462C0B">
        <w:rPr>
          <w:rFonts w:ascii="Times New Roman" w:hAnsi="Times New Roman" w:cs="Times New Roman"/>
          <w:sz w:val="24"/>
          <w:szCs w:val="24"/>
        </w:rPr>
        <w:t xml:space="preserve">literature related to each of the specific themes. </w:t>
      </w:r>
    </w:p>
    <w:p w14:paraId="50294E4A" w14:textId="7A35941D" w:rsidR="004C77D8" w:rsidRPr="00462C0B" w:rsidRDefault="004C77D8" w:rsidP="00723750">
      <w:pPr>
        <w:pStyle w:val="Heading2"/>
      </w:pPr>
      <w:r w:rsidRPr="00462C0B">
        <w:t>Biodiversity offset markets in the USA</w:t>
      </w:r>
    </w:p>
    <w:p w14:paraId="0359D9F1" w14:textId="7706EDFD" w:rsidR="003D1FB1" w:rsidRPr="00462C0B" w:rsidRDefault="008C331D" w:rsidP="003B4BE6">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The </w:t>
      </w:r>
      <w:r w:rsidR="0068561A" w:rsidRPr="00462C0B">
        <w:rPr>
          <w:rFonts w:ascii="Times New Roman" w:hAnsi="Times New Roman" w:cs="Times New Roman"/>
          <w:sz w:val="24"/>
          <w:szCs w:val="24"/>
        </w:rPr>
        <w:t xml:space="preserve">USA adopted </w:t>
      </w:r>
      <w:r w:rsidRPr="00462C0B">
        <w:rPr>
          <w:rFonts w:ascii="Times New Roman" w:hAnsi="Times New Roman" w:cs="Times New Roman"/>
          <w:sz w:val="24"/>
          <w:szCs w:val="24"/>
        </w:rPr>
        <w:t>Wetland Mitigation Banking (WMB)</w:t>
      </w:r>
      <w:r w:rsidR="0068561A" w:rsidRPr="00462C0B">
        <w:rPr>
          <w:rFonts w:ascii="Times New Roman" w:hAnsi="Times New Roman" w:cs="Times New Roman"/>
          <w:sz w:val="24"/>
          <w:szCs w:val="24"/>
        </w:rPr>
        <w:t xml:space="preserve"> following Section 404 of the Clean Water Act (1977) </w:t>
      </w:r>
      <w:r w:rsidR="003B4BE6" w:rsidRPr="00462C0B">
        <w:rPr>
          <w:rFonts w:ascii="Times New Roman" w:hAnsi="Times New Roman" w:cs="Times New Roman"/>
          <w:sz w:val="24"/>
          <w:szCs w:val="24"/>
        </w:rPr>
        <w:t xml:space="preserve">which made it compulsory to </w:t>
      </w:r>
      <w:r w:rsidR="00703682">
        <w:rPr>
          <w:rFonts w:ascii="Times New Roman" w:hAnsi="Times New Roman" w:cs="Times New Roman"/>
          <w:sz w:val="24"/>
          <w:szCs w:val="24"/>
        </w:rPr>
        <w:t xml:space="preserve">first </w:t>
      </w:r>
      <w:r w:rsidR="003B4BE6" w:rsidRPr="00462C0B">
        <w:rPr>
          <w:rFonts w:ascii="Times New Roman" w:hAnsi="Times New Roman" w:cs="Times New Roman"/>
          <w:sz w:val="24"/>
          <w:szCs w:val="24"/>
        </w:rPr>
        <w:t xml:space="preserve">avoid and </w:t>
      </w:r>
      <w:r w:rsidR="00703682">
        <w:rPr>
          <w:rFonts w:ascii="Times New Roman" w:hAnsi="Times New Roman" w:cs="Times New Roman"/>
          <w:sz w:val="24"/>
          <w:szCs w:val="24"/>
        </w:rPr>
        <w:t xml:space="preserve">then </w:t>
      </w:r>
      <w:r w:rsidR="003B4BE6" w:rsidRPr="00462C0B">
        <w:rPr>
          <w:rFonts w:ascii="Times New Roman" w:hAnsi="Times New Roman" w:cs="Times New Roman"/>
          <w:sz w:val="24"/>
          <w:szCs w:val="24"/>
        </w:rPr>
        <w:t>minimize the impact</w:t>
      </w:r>
      <w:r w:rsidR="00703682">
        <w:rPr>
          <w:rFonts w:ascii="Times New Roman" w:hAnsi="Times New Roman" w:cs="Times New Roman"/>
          <w:sz w:val="24"/>
          <w:szCs w:val="24"/>
        </w:rPr>
        <w:t xml:space="preserve"> of new developments </w:t>
      </w:r>
      <w:r w:rsidR="003B4BE6" w:rsidRPr="00462C0B">
        <w:rPr>
          <w:rFonts w:ascii="Times New Roman" w:hAnsi="Times New Roman" w:cs="Times New Roman"/>
          <w:sz w:val="24"/>
          <w:szCs w:val="24"/>
        </w:rPr>
        <w:t>on designated water bodies</w:t>
      </w:r>
      <w:r w:rsidR="00703682">
        <w:rPr>
          <w:rFonts w:ascii="Times New Roman" w:hAnsi="Times New Roman" w:cs="Times New Roman"/>
          <w:sz w:val="24"/>
          <w:szCs w:val="24"/>
        </w:rPr>
        <w:t>. C</w:t>
      </w:r>
      <w:r w:rsidR="003B4BE6" w:rsidRPr="00462C0B">
        <w:rPr>
          <w:rFonts w:ascii="Times New Roman" w:hAnsi="Times New Roman" w:cs="Times New Roman"/>
          <w:sz w:val="24"/>
          <w:szCs w:val="24"/>
        </w:rPr>
        <w:t xml:space="preserve">ompensatory mitigation </w:t>
      </w:r>
      <w:r w:rsidR="00703682">
        <w:rPr>
          <w:rFonts w:ascii="Times New Roman" w:hAnsi="Times New Roman" w:cs="Times New Roman"/>
          <w:sz w:val="24"/>
          <w:szCs w:val="24"/>
        </w:rPr>
        <w:t>was then required for</w:t>
      </w:r>
      <w:r w:rsidR="003B4BE6" w:rsidRPr="00462C0B">
        <w:rPr>
          <w:rFonts w:ascii="Times New Roman" w:hAnsi="Times New Roman" w:cs="Times New Roman"/>
          <w:sz w:val="24"/>
          <w:szCs w:val="24"/>
        </w:rPr>
        <w:t xml:space="preserve"> unavoidable impacts. </w:t>
      </w:r>
      <w:r w:rsidRPr="00462C0B">
        <w:rPr>
          <w:rFonts w:ascii="Times New Roman" w:hAnsi="Times New Roman" w:cs="Times New Roman"/>
          <w:sz w:val="24"/>
          <w:szCs w:val="24"/>
        </w:rPr>
        <w:t>The first WMB banks were established in the 1980s</w:t>
      </w:r>
      <w:r w:rsidR="006E6805" w:rsidRPr="00462C0B">
        <w:rPr>
          <w:rFonts w:ascii="Times New Roman" w:hAnsi="Times New Roman" w:cs="Times New Roman"/>
          <w:sz w:val="24"/>
          <w:szCs w:val="24"/>
        </w:rPr>
        <w:t xml:space="preserve"> (Hough and Robertson 2009)</w:t>
      </w:r>
      <w:r w:rsidRPr="00462C0B">
        <w:rPr>
          <w:rFonts w:ascii="Times New Roman" w:hAnsi="Times New Roman" w:cs="Times New Roman"/>
          <w:sz w:val="24"/>
          <w:szCs w:val="24"/>
        </w:rPr>
        <w:t xml:space="preserve">. WMB credits were initially based on habitat </w:t>
      </w:r>
      <w:r w:rsidR="003D1FB1" w:rsidRPr="00462C0B">
        <w:rPr>
          <w:rFonts w:ascii="Times New Roman" w:hAnsi="Times New Roman" w:cs="Times New Roman"/>
          <w:sz w:val="24"/>
          <w:szCs w:val="24"/>
        </w:rPr>
        <w:t>acreage,</w:t>
      </w:r>
      <w:r w:rsidRPr="00462C0B">
        <w:rPr>
          <w:rFonts w:ascii="Times New Roman" w:hAnsi="Times New Roman" w:cs="Times New Roman"/>
          <w:sz w:val="24"/>
          <w:szCs w:val="24"/>
        </w:rPr>
        <w:t xml:space="preserve"> but more recent approaches have sought to </w:t>
      </w:r>
      <w:r w:rsidR="00AB0AD9" w:rsidRPr="00462C0B">
        <w:rPr>
          <w:rFonts w:ascii="Times New Roman" w:hAnsi="Times New Roman" w:cs="Times New Roman"/>
          <w:sz w:val="24"/>
          <w:szCs w:val="24"/>
        </w:rPr>
        <w:t>consider wetland functioning</w:t>
      </w:r>
      <w:r w:rsidRPr="00462C0B">
        <w:rPr>
          <w:rFonts w:ascii="Times New Roman" w:hAnsi="Times New Roman" w:cs="Times New Roman"/>
          <w:sz w:val="24"/>
          <w:szCs w:val="24"/>
        </w:rPr>
        <w:t>, accounting for the effects of offsetting actions on water quality, flood storage and flow reductions and habitat quality</w:t>
      </w:r>
      <w:r w:rsidR="009347E3" w:rsidRPr="00462C0B">
        <w:rPr>
          <w:rFonts w:ascii="Times New Roman" w:hAnsi="Times New Roman" w:cs="Times New Roman"/>
          <w:sz w:val="24"/>
          <w:szCs w:val="24"/>
        </w:rPr>
        <w:t xml:space="preserve"> (Doyle and Shields 2012).</w:t>
      </w:r>
      <w:r w:rsidRPr="00462C0B">
        <w:rPr>
          <w:rFonts w:ascii="Times New Roman" w:hAnsi="Times New Roman" w:cs="Times New Roman"/>
          <w:color w:val="FF0000"/>
          <w:sz w:val="24"/>
          <w:szCs w:val="24"/>
        </w:rPr>
        <w:t xml:space="preserve"> </w:t>
      </w:r>
      <w:r w:rsidR="00CA00B7" w:rsidRPr="00462C0B">
        <w:rPr>
          <w:rFonts w:ascii="Times New Roman" w:hAnsi="Times New Roman" w:cs="Times New Roman"/>
          <w:color w:val="000000" w:themeColor="text1"/>
          <w:sz w:val="24"/>
          <w:szCs w:val="24"/>
        </w:rPr>
        <w:t xml:space="preserve">Multipliers (also referred to as trading ratios in the literature) are applied to account for differences in </w:t>
      </w:r>
      <w:r w:rsidR="003D1FB1" w:rsidRPr="00462C0B">
        <w:rPr>
          <w:rFonts w:ascii="Times New Roman" w:hAnsi="Times New Roman" w:cs="Times New Roman"/>
          <w:color w:val="000000" w:themeColor="text1"/>
          <w:sz w:val="24"/>
          <w:szCs w:val="24"/>
        </w:rPr>
        <w:t xml:space="preserve">ecological </w:t>
      </w:r>
      <w:r w:rsidR="006C1FE3" w:rsidRPr="00462C0B">
        <w:rPr>
          <w:rFonts w:ascii="Times New Roman" w:hAnsi="Times New Roman" w:cs="Times New Roman"/>
          <w:color w:val="000000" w:themeColor="text1"/>
          <w:sz w:val="24"/>
          <w:szCs w:val="24"/>
        </w:rPr>
        <w:t xml:space="preserve">criteria </w:t>
      </w:r>
      <w:r w:rsidR="003D1FB1" w:rsidRPr="00462C0B">
        <w:rPr>
          <w:rFonts w:ascii="Times New Roman" w:hAnsi="Times New Roman" w:cs="Times New Roman"/>
          <w:color w:val="000000" w:themeColor="text1"/>
          <w:sz w:val="24"/>
          <w:szCs w:val="24"/>
        </w:rPr>
        <w:t xml:space="preserve">between the developed site and the offset bank. Typically, </w:t>
      </w:r>
      <w:r w:rsidR="00CA00B7" w:rsidRPr="00462C0B">
        <w:rPr>
          <w:rFonts w:ascii="Times New Roman" w:hAnsi="Times New Roman" w:cs="Times New Roman"/>
          <w:sz w:val="24"/>
          <w:szCs w:val="24"/>
        </w:rPr>
        <w:t>creation or re-establishment has the lowest requirements (1:1) whilst banks which preserve existing sites have the highest trading ratios (</w:t>
      </w:r>
      <w:r w:rsidR="004F6D9B" w:rsidRPr="00462C0B">
        <w:rPr>
          <w:rFonts w:ascii="Times New Roman" w:hAnsi="Times New Roman" w:cs="Times New Roman"/>
          <w:sz w:val="24"/>
          <w:szCs w:val="24"/>
        </w:rPr>
        <w:t>3</w:t>
      </w:r>
      <w:r w:rsidR="00CA00B7" w:rsidRPr="00462C0B">
        <w:rPr>
          <w:rFonts w:ascii="Times New Roman" w:hAnsi="Times New Roman" w:cs="Times New Roman"/>
          <w:sz w:val="24"/>
          <w:szCs w:val="24"/>
        </w:rPr>
        <w:t>:1)</w:t>
      </w:r>
      <w:r w:rsidR="002540FF" w:rsidRPr="00462C0B">
        <w:rPr>
          <w:rFonts w:ascii="Times New Roman" w:hAnsi="Times New Roman" w:cs="Times New Roman"/>
          <w:sz w:val="24"/>
          <w:szCs w:val="24"/>
        </w:rPr>
        <w:t xml:space="preserve"> (Environmental Protection Agency 2022).</w:t>
      </w:r>
      <w:r w:rsidR="003D1FB1" w:rsidRPr="00462C0B">
        <w:rPr>
          <w:rFonts w:ascii="Times New Roman" w:hAnsi="Times New Roman" w:cs="Times New Roman"/>
          <w:color w:val="FF0000"/>
          <w:sz w:val="24"/>
          <w:szCs w:val="24"/>
        </w:rPr>
        <w:t xml:space="preserve"> </w:t>
      </w:r>
      <w:r w:rsidR="00CA00B7" w:rsidRPr="00462C0B">
        <w:rPr>
          <w:rFonts w:ascii="Times New Roman" w:hAnsi="Times New Roman" w:cs="Times New Roman"/>
          <w:sz w:val="24"/>
          <w:szCs w:val="24"/>
        </w:rPr>
        <w:t xml:space="preserve">Once a credit is sold the area </w:t>
      </w:r>
      <w:r w:rsidR="003D1FB1" w:rsidRPr="00462C0B">
        <w:rPr>
          <w:rFonts w:ascii="Times New Roman" w:hAnsi="Times New Roman" w:cs="Times New Roman"/>
          <w:sz w:val="24"/>
          <w:szCs w:val="24"/>
        </w:rPr>
        <w:t>should typically be</w:t>
      </w:r>
      <w:r w:rsidR="00CA00B7" w:rsidRPr="00462C0B">
        <w:rPr>
          <w:rFonts w:ascii="Times New Roman" w:hAnsi="Times New Roman" w:cs="Times New Roman"/>
          <w:sz w:val="24"/>
          <w:szCs w:val="24"/>
        </w:rPr>
        <w:t xml:space="preserve"> protected in perpetuity through conservation easements</w:t>
      </w:r>
      <w:r w:rsidR="003D1FB1" w:rsidRPr="00462C0B">
        <w:rPr>
          <w:rFonts w:ascii="Times New Roman" w:hAnsi="Times New Roman" w:cs="Times New Roman"/>
          <w:sz w:val="24"/>
          <w:szCs w:val="24"/>
        </w:rPr>
        <w:t xml:space="preserve">. </w:t>
      </w:r>
    </w:p>
    <w:p w14:paraId="3F63E39F" w14:textId="0D72FA31" w:rsidR="004E681B" w:rsidRDefault="004E681B" w:rsidP="001E5EC7">
      <w:pPr>
        <w:spacing w:line="360" w:lineRule="auto"/>
        <w:rPr>
          <w:rFonts w:ascii="Times New Roman" w:hAnsi="Times New Roman" w:cs="Times New Roman"/>
          <w:color w:val="000000" w:themeColor="text1"/>
          <w:sz w:val="24"/>
          <w:szCs w:val="24"/>
        </w:rPr>
      </w:pPr>
      <w:r w:rsidRPr="00462C0B">
        <w:rPr>
          <w:rFonts w:ascii="Times New Roman" w:hAnsi="Times New Roman" w:cs="Times New Roman"/>
          <w:sz w:val="24"/>
          <w:szCs w:val="24"/>
        </w:rPr>
        <w:t>The first banks established throughout the 1980s were</w:t>
      </w:r>
      <w:r w:rsidRPr="00462C0B">
        <w:rPr>
          <w:rFonts w:ascii="Times New Roman" w:hAnsi="Times New Roman" w:cs="Times New Roman"/>
          <w:color w:val="000000" w:themeColor="text1"/>
          <w:sz w:val="24"/>
          <w:szCs w:val="24"/>
        </w:rPr>
        <w:t xml:space="preserve"> publicly sponsored </w:t>
      </w:r>
      <w:r w:rsidR="003B4BE6" w:rsidRPr="00462C0B">
        <w:rPr>
          <w:rFonts w:ascii="Times New Roman" w:hAnsi="Times New Roman" w:cs="Times New Roman"/>
          <w:color w:val="000000" w:themeColor="text1"/>
          <w:sz w:val="24"/>
          <w:szCs w:val="24"/>
        </w:rPr>
        <w:t xml:space="preserve">banks with credits purchased by a single </w:t>
      </w:r>
      <w:r w:rsidRPr="00462C0B">
        <w:rPr>
          <w:rFonts w:ascii="Times New Roman" w:hAnsi="Times New Roman" w:cs="Times New Roman"/>
          <w:color w:val="000000" w:themeColor="text1"/>
          <w:sz w:val="24"/>
          <w:szCs w:val="24"/>
        </w:rPr>
        <w:t>state agenc</w:t>
      </w:r>
      <w:r w:rsidR="003B4BE6" w:rsidRPr="00462C0B">
        <w:rPr>
          <w:rFonts w:ascii="Times New Roman" w:hAnsi="Times New Roman" w:cs="Times New Roman"/>
          <w:color w:val="000000" w:themeColor="text1"/>
          <w:sz w:val="24"/>
          <w:szCs w:val="24"/>
        </w:rPr>
        <w:t xml:space="preserve">y or </w:t>
      </w:r>
      <w:r w:rsidRPr="00462C0B">
        <w:rPr>
          <w:rFonts w:ascii="Times New Roman" w:hAnsi="Times New Roman" w:cs="Times New Roman"/>
          <w:color w:val="000000" w:themeColor="text1"/>
          <w:sz w:val="24"/>
          <w:szCs w:val="24"/>
        </w:rPr>
        <w:t>large organisation</w:t>
      </w:r>
      <w:r w:rsidR="003B4BE6" w:rsidRPr="00462C0B">
        <w:rPr>
          <w:rFonts w:ascii="Times New Roman" w:hAnsi="Times New Roman" w:cs="Times New Roman"/>
          <w:color w:val="000000" w:themeColor="text1"/>
          <w:sz w:val="24"/>
          <w:szCs w:val="24"/>
        </w:rPr>
        <w:t xml:space="preserve"> that </w:t>
      </w:r>
      <w:r w:rsidRPr="00462C0B">
        <w:rPr>
          <w:rFonts w:ascii="Times New Roman" w:hAnsi="Times New Roman" w:cs="Times New Roman"/>
          <w:color w:val="000000" w:themeColor="text1"/>
          <w:sz w:val="24"/>
          <w:szCs w:val="24"/>
        </w:rPr>
        <w:t>stockpil</w:t>
      </w:r>
      <w:r w:rsidR="003B4BE6" w:rsidRPr="00462C0B">
        <w:rPr>
          <w:rFonts w:ascii="Times New Roman" w:hAnsi="Times New Roman" w:cs="Times New Roman"/>
          <w:color w:val="000000" w:themeColor="text1"/>
          <w:sz w:val="24"/>
          <w:szCs w:val="24"/>
        </w:rPr>
        <w:t>ed</w:t>
      </w:r>
      <w:r w:rsidRPr="00462C0B">
        <w:rPr>
          <w:rFonts w:ascii="Times New Roman" w:hAnsi="Times New Roman" w:cs="Times New Roman"/>
          <w:color w:val="000000" w:themeColor="text1"/>
          <w:sz w:val="24"/>
          <w:szCs w:val="24"/>
        </w:rPr>
        <w:t xml:space="preserve"> credits for their own later use. From 1991 onwards,</w:t>
      </w:r>
      <w:r w:rsidR="001E5EC7" w:rsidRPr="00462C0B">
        <w:rPr>
          <w:rFonts w:ascii="Times New Roman" w:hAnsi="Times New Roman" w:cs="Times New Roman"/>
          <w:color w:val="000000" w:themeColor="text1"/>
          <w:sz w:val="24"/>
          <w:szCs w:val="24"/>
        </w:rPr>
        <w:t xml:space="preserve"> private landowners began to invest in wetland restoration creating what became known as</w:t>
      </w:r>
      <w:r w:rsidRPr="00462C0B">
        <w:rPr>
          <w:rFonts w:ascii="Times New Roman" w:hAnsi="Times New Roman" w:cs="Times New Roman"/>
          <w:color w:val="000000" w:themeColor="text1"/>
          <w:sz w:val="24"/>
          <w:szCs w:val="24"/>
        </w:rPr>
        <w:t xml:space="preserve"> </w:t>
      </w:r>
      <w:r w:rsidR="001E5EC7" w:rsidRPr="00462C0B">
        <w:rPr>
          <w:rFonts w:ascii="Times New Roman" w:hAnsi="Times New Roman" w:cs="Times New Roman"/>
          <w:color w:val="000000" w:themeColor="text1"/>
          <w:sz w:val="24"/>
          <w:szCs w:val="24"/>
        </w:rPr>
        <w:t>“</w:t>
      </w:r>
      <w:r w:rsidRPr="00462C0B">
        <w:rPr>
          <w:rFonts w:ascii="Times New Roman" w:hAnsi="Times New Roman" w:cs="Times New Roman"/>
          <w:color w:val="000000" w:themeColor="text1"/>
          <w:sz w:val="24"/>
          <w:szCs w:val="24"/>
        </w:rPr>
        <w:t>entrepreneurial banks</w:t>
      </w:r>
      <w:r w:rsidR="001E5EC7" w:rsidRPr="00462C0B">
        <w:rPr>
          <w:rFonts w:ascii="Times New Roman" w:hAnsi="Times New Roman" w:cs="Times New Roman"/>
          <w:color w:val="000000" w:themeColor="text1"/>
          <w:sz w:val="24"/>
          <w:szCs w:val="24"/>
        </w:rPr>
        <w:t xml:space="preserve">”. These privately funded banks </w:t>
      </w:r>
      <w:r w:rsidRPr="00462C0B">
        <w:rPr>
          <w:rFonts w:ascii="Times New Roman" w:hAnsi="Times New Roman" w:cs="Times New Roman"/>
          <w:color w:val="000000" w:themeColor="text1"/>
          <w:sz w:val="24"/>
          <w:szCs w:val="24"/>
        </w:rPr>
        <w:t xml:space="preserve"> </w:t>
      </w:r>
      <w:r w:rsidR="009F077D" w:rsidRPr="00462C0B">
        <w:rPr>
          <w:rFonts w:ascii="Times New Roman" w:hAnsi="Times New Roman" w:cs="Times New Roman"/>
          <w:color w:val="000000" w:themeColor="text1"/>
          <w:sz w:val="24"/>
          <w:szCs w:val="24"/>
        </w:rPr>
        <w:t xml:space="preserve"> </w:t>
      </w:r>
      <w:r w:rsidRPr="00462C0B">
        <w:rPr>
          <w:rFonts w:ascii="Times New Roman" w:hAnsi="Times New Roman" w:cs="Times New Roman"/>
          <w:color w:val="000000" w:themeColor="text1"/>
          <w:sz w:val="24"/>
          <w:szCs w:val="24"/>
        </w:rPr>
        <w:t xml:space="preserve">could sell credits to any </w:t>
      </w:r>
      <w:r w:rsidR="009F077D" w:rsidRPr="00462C0B">
        <w:rPr>
          <w:rFonts w:ascii="Times New Roman" w:hAnsi="Times New Roman" w:cs="Times New Roman"/>
          <w:color w:val="000000" w:themeColor="text1"/>
          <w:sz w:val="24"/>
          <w:szCs w:val="24"/>
        </w:rPr>
        <w:t>developer</w:t>
      </w:r>
      <w:r w:rsidR="001E5EC7" w:rsidRPr="00462C0B">
        <w:rPr>
          <w:rFonts w:ascii="Times New Roman" w:hAnsi="Times New Roman" w:cs="Times New Roman"/>
          <w:color w:val="000000" w:themeColor="text1"/>
          <w:sz w:val="24"/>
          <w:szCs w:val="24"/>
        </w:rPr>
        <w:t xml:space="preserve"> and a bank could sell credits to multiple developers</w:t>
      </w:r>
      <w:r w:rsidRPr="00462C0B">
        <w:rPr>
          <w:rFonts w:ascii="Times New Roman" w:hAnsi="Times New Roman" w:cs="Times New Roman"/>
          <w:color w:val="000000" w:themeColor="text1"/>
          <w:sz w:val="24"/>
          <w:szCs w:val="24"/>
        </w:rPr>
        <w:t>.  As of May 2022, there were over 2387 banks and bank sites loaded into the RIBITS (Regulatory In-</w:t>
      </w:r>
      <w:r w:rsidRPr="00462C0B">
        <w:rPr>
          <w:rFonts w:ascii="Times New Roman" w:hAnsi="Times New Roman" w:cs="Times New Roman"/>
          <w:color w:val="000000" w:themeColor="text1"/>
          <w:sz w:val="24"/>
          <w:szCs w:val="24"/>
        </w:rPr>
        <w:lastRenderedPageBreak/>
        <w:t>lieu fee and Bank Information Tracking System)</w:t>
      </w:r>
      <w:r w:rsidRPr="00462C0B">
        <w:rPr>
          <w:rStyle w:val="FootnoteReference"/>
          <w:rFonts w:ascii="Times New Roman" w:hAnsi="Times New Roman" w:cs="Times New Roman"/>
          <w:color w:val="000000" w:themeColor="text1"/>
          <w:sz w:val="24"/>
          <w:szCs w:val="24"/>
        </w:rPr>
        <w:footnoteReference w:id="1"/>
      </w:r>
      <w:r w:rsidRPr="00462C0B">
        <w:rPr>
          <w:rFonts w:ascii="Times New Roman" w:hAnsi="Times New Roman" w:cs="Times New Roman"/>
          <w:color w:val="000000" w:themeColor="text1"/>
          <w:sz w:val="24"/>
          <w:szCs w:val="24"/>
        </w:rPr>
        <w:t xml:space="preserve"> database.  Of these 1864 are private</w:t>
      </w:r>
      <w:r w:rsidR="009F077D" w:rsidRPr="00462C0B">
        <w:rPr>
          <w:rFonts w:ascii="Times New Roman" w:hAnsi="Times New Roman" w:cs="Times New Roman"/>
          <w:color w:val="000000" w:themeColor="text1"/>
          <w:sz w:val="24"/>
          <w:szCs w:val="24"/>
        </w:rPr>
        <w:t>/</w:t>
      </w:r>
      <w:r w:rsidRPr="00462C0B">
        <w:rPr>
          <w:rFonts w:ascii="Times New Roman" w:hAnsi="Times New Roman" w:cs="Times New Roman"/>
          <w:color w:val="000000" w:themeColor="text1"/>
          <w:sz w:val="24"/>
          <w:szCs w:val="24"/>
        </w:rPr>
        <w:t xml:space="preserve">entrepreneurial banks. </w:t>
      </w:r>
      <w:r w:rsidR="00F3735E" w:rsidRPr="00462C0B">
        <w:rPr>
          <w:rFonts w:ascii="Times New Roman" w:hAnsi="Times New Roman" w:cs="Times New Roman"/>
          <w:color w:val="000000" w:themeColor="text1"/>
          <w:sz w:val="24"/>
          <w:szCs w:val="24"/>
        </w:rPr>
        <w:t xml:space="preserve">We explore the lessons learned from the USA WMB markets in the following sections. </w:t>
      </w:r>
    </w:p>
    <w:p w14:paraId="653B230C" w14:textId="77777777" w:rsidR="00913BF7" w:rsidRDefault="00913BF7" w:rsidP="00913BF7">
      <w:pPr>
        <w:pStyle w:val="Heading2"/>
      </w:pPr>
      <w:r w:rsidRPr="00723750">
        <w:t xml:space="preserve">Biodiversity Offset Markets in </w:t>
      </w:r>
      <w:r>
        <w:t>Australia</w:t>
      </w:r>
    </w:p>
    <w:p w14:paraId="3BE4AFF1" w14:textId="29E83202" w:rsidR="006205B3" w:rsidRDefault="00A92F6C" w:rsidP="00C40FEE">
      <w:pPr>
        <w:pStyle w:val="Heading2"/>
        <w:numPr>
          <w:ilvl w:val="0"/>
          <w:numId w:val="0"/>
        </w:numPr>
        <w:spacing w:line="360" w:lineRule="auto"/>
        <w:rPr>
          <w:b w:val="0"/>
          <w:bCs w:val="0"/>
          <w:iCs/>
        </w:rPr>
      </w:pPr>
      <w:r>
        <w:rPr>
          <w:b w:val="0"/>
          <w:bCs w:val="0"/>
        </w:rPr>
        <w:t xml:space="preserve">Under the </w:t>
      </w:r>
      <w:r w:rsidRPr="00913BF7">
        <w:rPr>
          <w:b w:val="0"/>
          <w:bCs w:val="0"/>
        </w:rPr>
        <w:t>Environmental Protection and Biodiversity Conservation Act 1999</w:t>
      </w:r>
      <w:r>
        <w:rPr>
          <w:b w:val="0"/>
          <w:bCs w:val="0"/>
        </w:rPr>
        <w:t xml:space="preserve"> the Australian Government developed an Environmental Offsets Policy (Miller </w:t>
      </w:r>
      <w:r>
        <w:rPr>
          <w:b w:val="0"/>
          <w:bCs w:val="0"/>
          <w:i/>
          <w:iCs/>
        </w:rPr>
        <w:t>et al.</w:t>
      </w:r>
      <w:r>
        <w:rPr>
          <w:b w:val="0"/>
          <w:bCs w:val="0"/>
        </w:rPr>
        <w:t xml:space="preserve"> 2015). </w:t>
      </w:r>
      <w:r w:rsidR="00A0122C" w:rsidRPr="00A0122C">
        <w:rPr>
          <w:b w:val="0"/>
          <w:bCs w:val="0"/>
        </w:rPr>
        <w:t xml:space="preserve">The main aim of the scheme </w:t>
      </w:r>
      <w:r w:rsidR="00030E15">
        <w:rPr>
          <w:b w:val="0"/>
          <w:bCs w:val="0"/>
        </w:rPr>
        <w:t>is</w:t>
      </w:r>
      <w:r w:rsidR="00A0122C">
        <w:rPr>
          <w:b w:val="0"/>
          <w:bCs w:val="0"/>
        </w:rPr>
        <w:t xml:space="preserve"> </w:t>
      </w:r>
      <w:r w:rsidR="00A0122C" w:rsidRPr="00A0122C">
        <w:rPr>
          <w:b w:val="0"/>
          <w:bCs w:val="0"/>
        </w:rPr>
        <w:t xml:space="preserve">to integrate biodiversity into land use planning for high </w:t>
      </w:r>
      <w:r w:rsidR="001E3C56">
        <w:rPr>
          <w:b w:val="0"/>
          <w:bCs w:val="0"/>
        </w:rPr>
        <w:t>development</w:t>
      </w:r>
      <w:r w:rsidR="00A0122C" w:rsidRPr="00A0122C">
        <w:rPr>
          <w:b w:val="0"/>
          <w:bCs w:val="0"/>
        </w:rPr>
        <w:t xml:space="preserve"> areas</w:t>
      </w:r>
      <w:r w:rsidR="00A0122C">
        <w:rPr>
          <w:b w:val="0"/>
          <w:bCs w:val="0"/>
        </w:rPr>
        <w:t xml:space="preserve">. </w:t>
      </w:r>
      <w:r w:rsidR="00AB1D99">
        <w:rPr>
          <w:b w:val="0"/>
          <w:bCs w:val="0"/>
        </w:rPr>
        <w:t xml:space="preserve">Australia is considered to have an advanced offset policy </w:t>
      </w:r>
      <w:r w:rsidR="00C40FEE">
        <w:rPr>
          <w:b w:val="0"/>
          <w:bCs w:val="0"/>
        </w:rPr>
        <w:t>with schemes in operation or development across many of the states and territories</w:t>
      </w:r>
      <w:r w:rsidR="006205B3" w:rsidRPr="006205B3">
        <w:rPr>
          <w:b w:val="0"/>
          <w:bCs w:val="0"/>
        </w:rPr>
        <w:t xml:space="preserve"> (McKenney and Kiesecker</w:t>
      </w:r>
      <w:r w:rsidR="00C40FEE">
        <w:rPr>
          <w:b w:val="0"/>
          <w:bCs w:val="0"/>
        </w:rPr>
        <w:t xml:space="preserve"> </w:t>
      </w:r>
      <w:r w:rsidR="006205B3" w:rsidRPr="006205B3">
        <w:rPr>
          <w:b w:val="0"/>
          <w:bCs w:val="0"/>
        </w:rPr>
        <w:t>2010).</w:t>
      </w:r>
      <w:r w:rsidR="0063373F">
        <w:rPr>
          <w:b w:val="0"/>
          <w:bCs w:val="0"/>
        </w:rPr>
        <w:t xml:space="preserve"> As reviewed by Maron </w:t>
      </w:r>
      <w:r w:rsidR="0063373F">
        <w:rPr>
          <w:b w:val="0"/>
          <w:bCs w:val="0"/>
          <w:i/>
        </w:rPr>
        <w:t>et al.</w:t>
      </w:r>
      <w:r w:rsidR="0063373F">
        <w:rPr>
          <w:b w:val="0"/>
          <w:bCs w:val="0"/>
          <w:iCs/>
        </w:rPr>
        <w:t xml:space="preserve"> (2015) the documentation regarding the policies varies by state and territory with no set framework across the country. </w:t>
      </w:r>
    </w:p>
    <w:p w14:paraId="0EF4ED2A" w14:textId="6CA573EA" w:rsidR="00913BF7" w:rsidRPr="00913BF7" w:rsidRDefault="003D55EA" w:rsidP="00B371F9">
      <w:pPr>
        <w:pStyle w:val="Heading2"/>
        <w:numPr>
          <w:ilvl w:val="0"/>
          <w:numId w:val="0"/>
        </w:numPr>
        <w:spacing w:line="360" w:lineRule="auto"/>
        <w:rPr>
          <w:b w:val="0"/>
          <w:bCs w:val="0"/>
        </w:rPr>
      </w:pPr>
      <w:r>
        <w:rPr>
          <w:b w:val="0"/>
          <w:bCs w:val="0"/>
          <w:iCs/>
        </w:rPr>
        <w:t xml:space="preserve">In our review we consider the lessons learned from the </w:t>
      </w:r>
      <w:proofErr w:type="spellStart"/>
      <w:r>
        <w:rPr>
          <w:b w:val="0"/>
          <w:bCs w:val="0"/>
          <w:iCs/>
        </w:rPr>
        <w:t>BioBanking</w:t>
      </w:r>
      <w:proofErr w:type="spellEnd"/>
      <w:r>
        <w:rPr>
          <w:b w:val="0"/>
          <w:bCs w:val="0"/>
          <w:iCs/>
        </w:rPr>
        <w:t xml:space="preserve"> scheme introduced in New South Wales in 2006 (</w:t>
      </w:r>
      <w:r w:rsidRPr="00913BF7">
        <w:rPr>
          <w:b w:val="0"/>
          <w:bCs w:val="0"/>
        </w:rPr>
        <w:t>Dupont 2017</w:t>
      </w:r>
      <w:r>
        <w:rPr>
          <w:b w:val="0"/>
          <w:bCs w:val="0"/>
        </w:rPr>
        <w:t xml:space="preserve">). </w:t>
      </w:r>
      <w:proofErr w:type="gramStart"/>
      <w:r w:rsidR="00B371F9" w:rsidRPr="00B371F9">
        <w:rPr>
          <w:b w:val="0"/>
          <w:bCs w:val="0"/>
        </w:rPr>
        <w:t>Similar to</w:t>
      </w:r>
      <w:proofErr w:type="gramEnd"/>
      <w:r w:rsidR="00B371F9" w:rsidRPr="00B371F9">
        <w:rPr>
          <w:b w:val="0"/>
          <w:bCs w:val="0"/>
        </w:rPr>
        <w:t xml:space="preserve"> wetland mitigation banking in the USA, landowners could generate biodiversity credits if they committed to enhancing and protecting biodiversity on their land</w:t>
      </w:r>
      <w:r w:rsidR="00573509">
        <w:rPr>
          <w:b w:val="0"/>
          <w:bCs w:val="0"/>
        </w:rPr>
        <w:t>. Credits</w:t>
      </w:r>
      <w:r w:rsidR="00B371F9" w:rsidRPr="00B371F9">
        <w:rPr>
          <w:b w:val="0"/>
          <w:bCs w:val="0"/>
        </w:rPr>
        <w:t xml:space="preserve"> could then be sold to developers (Burgin 2010). The offset metric was based on </w:t>
      </w:r>
      <w:r w:rsidR="00573509">
        <w:rPr>
          <w:b w:val="0"/>
          <w:bCs w:val="0"/>
        </w:rPr>
        <w:t>a</w:t>
      </w:r>
      <w:r w:rsidR="00B371F9" w:rsidRPr="00B371F9">
        <w:rPr>
          <w:b w:val="0"/>
          <w:bCs w:val="0"/>
        </w:rPr>
        <w:t xml:space="preserve"> habitat hectares approach with adjustments to </w:t>
      </w:r>
      <w:proofErr w:type="gramStart"/>
      <w:r w:rsidR="00B371F9" w:rsidRPr="00B371F9">
        <w:rPr>
          <w:b w:val="0"/>
          <w:bCs w:val="0"/>
        </w:rPr>
        <w:t>take into account</w:t>
      </w:r>
      <w:proofErr w:type="gramEnd"/>
      <w:r w:rsidR="00B371F9" w:rsidRPr="00B371F9">
        <w:rPr>
          <w:b w:val="0"/>
          <w:bCs w:val="0"/>
        </w:rPr>
        <w:t xml:space="preserve"> state and national priorities, regional value, landscape value and the threatened species response to proposed management actions (Maron</w:t>
      </w:r>
      <w:r w:rsidR="00B371F9" w:rsidRPr="00B371F9">
        <w:rPr>
          <w:b w:val="0"/>
          <w:bCs w:val="0"/>
          <w:i/>
          <w:iCs/>
        </w:rPr>
        <w:t xml:space="preserve"> et al. </w:t>
      </w:r>
      <w:r w:rsidR="00B371F9" w:rsidRPr="00B371F9">
        <w:rPr>
          <w:b w:val="0"/>
          <w:bCs w:val="0"/>
        </w:rPr>
        <w:t>2015).</w:t>
      </w:r>
      <w:r w:rsidR="00B371F9">
        <w:rPr>
          <w:b w:val="0"/>
          <w:bCs w:val="0"/>
        </w:rPr>
        <w:t xml:space="preserve"> T</w:t>
      </w:r>
      <w:r w:rsidR="00B371F9" w:rsidRPr="00B371F9">
        <w:rPr>
          <w:b w:val="0"/>
          <w:bCs w:val="0"/>
        </w:rPr>
        <w:t xml:space="preserve">he </w:t>
      </w:r>
      <w:proofErr w:type="spellStart"/>
      <w:r w:rsidR="00B371F9" w:rsidRPr="00B371F9">
        <w:rPr>
          <w:b w:val="0"/>
          <w:bCs w:val="0"/>
        </w:rPr>
        <w:t>BioBanking</w:t>
      </w:r>
      <w:proofErr w:type="spellEnd"/>
      <w:r w:rsidR="00B371F9" w:rsidRPr="00B371F9">
        <w:rPr>
          <w:b w:val="0"/>
          <w:bCs w:val="0"/>
        </w:rPr>
        <w:t xml:space="preserve"> Scheme was replaced by the Biodiversity Offsets Scheme (BOS) under the Biodiversity Conservation Act 2016 (BC Act) in 2017. The BOS is also a market-based scheme that operates in a similar way to </w:t>
      </w:r>
      <w:proofErr w:type="spellStart"/>
      <w:r w:rsidR="00B371F9" w:rsidRPr="00B371F9">
        <w:rPr>
          <w:b w:val="0"/>
          <w:bCs w:val="0"/>
        </w:rPr>
        <w:t>BioBanking</w:t>
      </w:r>
      <w:proofErr w:type="spellEnd"/>
      <w:r w:rsidR="00B371F9" w:rsidRPr="00B371F9">
        <w:rPr>
          <w:b w:val="0"/>
          <w:bCs w:val="0"/>
        </w:rPr>
        <w:t xml:space="preserve"> but with several key changes</w:t>
      </w:r>
      <w:r w:rsidR="00B371F9">
        <w:rPr>
          <w:b w:val="0"/>
          <w:bCs w:val="0"/>
        </w:rPr>
        <w:t xml:space="preserve"> (which we discuss in later sections of this paper)</w:t>
      </w:r>
      <w:r w:rsidR="00B371F9" w:rsidRPr="00B371F9">
        <w:rPr>
          <w:b w:val="0"/>
          <w:bCs w:val="0"/>
        </w:rPr>
        <w:t>. Crucially, the Biodiversity Offsets Scheme became the only pathway for most developments to offset their impacts, and impacts are now assessed according to one consistent methodology, the Biodiversity Assessment Method (</w:t>
      </w:r>
      <w:proofErr w:type="spellStart"/>
      <w:r w:rsidR="00B371F9" w:rsidRPr="00B371F9">
        <w:rPr>
          <w:b w:val="0"/>
          <w:bCs w:val="0"/>
        </w:rPr>
        <w:t>Ruoso</w:t>
      </w:r>
      <w:proofErr w:type="spellEnd"/>
      <w:r w:rsidR="00B371F9" w:rsidRPr="00B371F9">
        <w:rPr>
          <w:b w:val="0"/>
          <w:bCs w:val="0"/>
        </w:rPr>
        <w:t xml:space="preserve"> and Plant 2021).</w:t>
      </w:r>
    </w:p>
    <w:p w14:paraId="4999D844" w14:textId="3AAAD3D9" w:rsidR="00EC1130" w:rsidRPr="00723750" w:rsidRDefault="006D2C11" w:rsidP="00723750">
      <w:pPr>
        <w:pStyle w:val="Heading2"/>
      </w:pPr>
      <w:r w:rsidRPr="00723750">
        <w:t>Biodiversity</w:t>
      </w:r>
      <w:r w:rsidR="00EC1130" w:rsidRPr="00723750">
        <w:t xml:space="preserve"> Offset Markets in the UK</w:t>
      </w:r>
    </w:p>
    <w:p w14:paraId="35F4CE2D" w14:textId="5E895C2F" w:rsidR="00EC1130" w:rsidRPr="00462C0B" w:rsidRDefault="00EC1130" w:rsidP="00397C33">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In the UK the idea of a biodiversity offsetting system was </w:t>
      </w:r>
      <w:r w:rsidR="005769D3" w:rsidRPr="00462C0B">
        <w:rPr>
          <w:rFonts w:ascii="Times New Roman" w:hAnsi="Times New Roman" w:cs="Times New Roman"/>
          <w:sz w:val="24"/>
          <w:szCs w:val="24"/>
        </w:rPr>
        <w:t xml:space="preserve">first </w:t>
      </w:r>
      <w:r w:rsidRPr="00462C0B">
        <w:rPr>
          <w:rFonts w:ascii="Times New Roman" w:hAnsi="Times New Roman" w:cs="Times New Roman"/>
          <w:sz w:val="24"/>
          <w:szCs w:val="24"/>
        </w:rPr>
        <w:t>announced in the Government’s Natural Environment White Paper in 2011 (Defra 2011</w:t>
      </w:r>
      <w:r w:rsidR="004742B7" w:rsidRPr="00462C0B">
        <w:rPr>
          <w:rFonts w:ascii="Times New Roman" w:hAnsi="Times New Roman" w:cs="Times New Roman"/>
          <w:sz w:val="24"/>
          <w:szCs w:val="24"/>
        </w:rPr>
        <w:t>a</w:t>
      </w:r>
      <w:r w:rsidRPr="00462C0B">
        <w:rPr>
          <w:rFonts w:ascii="Times New Roman" w:hAnsi="Times New Roman" w:cs="Times New Roman"/>
          <w:sz w:val="24"/>
          <w:szCs w:val="24"/>
        </w:rPr>
        <w:t>). Prior to this</w:t>
      </w:r>
      <w:r w:rsidR="00F3735E" w:rsidRPr="00462C0B">
        <w:rPr>
          <w:rFonts w:ascii="Times New Roman" w:hAnsi="Times New Roman" w:cs="Times New Roman"/>
          <w:sz w:val="24"/>
          <w:szCs w:val="24"/>
        </w:rPr>
        <w:t>,</w:t>
      </w:r>
      <w:r w:rsidRPr="00462C0B">
        <w:rPr>
          <w:rFonts w:ascii="Times New Roman" w:hAnsi="Times New Roman" w:cs="Times New Roman"/>
          <w:sz w:val="24"/>
          <w:szCs w:val="24"/>
        </w:rPr>
        <w:t xml:space="preserve"> there </w:t>
      </w:r>
      <w:r w:rsidRPr="00462C0B">
        <w:rPr>
          <w:rFonts w:ascii="Times New Roman" w:hAnsi="Times New Roman" w:cs="Times New Roman"/>
          <w:sz w:val="24"/>
          <w:szCs w:val="24"/>
        </w:rPr>
        <w:lastRenderedPageBreak/>
        <w:t xml:space="preserve">had been a growing movement through the Countryside and Rights of Way Act (2000), the Natural Environment and Rural Communities Act (2006) and associated planning policy for some planning authorities to seek ecological compensation for impacts on a broader spectrum of biodiversity than before, and more specifically, to explore options for offsetting (Treweek </w:t>
      </w:r>
      <w:r w:rsidRPr="00462C0B">
        <w:rPr>
          <w:rFonts w:ascii="Times New Roman" w:hAnsi="Times New Roman" w:cs="Times New Roman"/>
          <w:i/>
          <w:iCs/>
          <w:sz w:val="24"/>
          <w:szCs w:val="24"/>
        </w:rPr>
        <w:t>et al</w:t>
      </w:r>
      <w:r w:rsidR="004C6DCF" w:rsidRPr="00462C0B">
        <w:rPr>
          <w:rFonts w:ascii="Times New Roman" w:hAnsi="Times New Roman" w:cs="Times New Roman"/>
          <w:sz w:val="24"/>
          <w:szCs w:val="24"/>
        </w:rPr>
        <w:t>.</w:t>
      </w:r>
      <w:r w:rsidRPr="00462C0B">
        <w:rPr>
          <w:rFonts w:ascii="Times New Roman" w:hAnsi="Times New Roman" w:cs="Times New Roman"/>
          <w:sz w:val="24"/>
          <w:szCs w:val="24"/>
        </w:rPr>
        <w:t xml:space="preserve"> 2009). It was felt that biodiversity offsetting </w:t>
      </w:r>
      <w:r w:rsidR="004C6DCF" w:rsidRPr="00462C0B">
        <w:rPr>
          <w:rFonts w:ascii="Times New Roman" w:hAnsi="Times New Roman" w:cs="Times New Roman"/>
          <w:sz w:val="24"/>
          <w:szCs w:val="24"/>
        </w:rPr>
        <w:t>could</w:t>
      </w:r>
      <w:r w:rsidRPr="00462C0B">
        <w:rPr>
          <w:rFonts w:ascii="Times New Roman" w:hAnsi="Times New Roman" w:cs="Times New Roman"/>
          <w:sz w:val="24"/>
          <w:szCs w:val="24"/>
        </w:rPr>
        <w:t xml:space="preserve"> overcome some of the issues associated with Section 106 agreements. These legally binding agreements between the developer and local planning authority offer management or financial support to offset adverse environmental effects. </w:t>
      </w:r>
      <w:r w:rsidR="006D2C11" w:rsidRPr="00462C0B">
        <w:rPr>
          <w:rFonts w:ascii="Times New Roman" w:hAnsi="Times New Roman" w:cs="Times New Roman"/>
          <w:sz w:val="24"/>
          <w:szCs w:val="24"/>
        </w:rPr>
        <w:t>However,</w:t>
      </w:r>
      <w:r w:rsidRPr="00462C0B">
        <w:rPr>
          <w:rFonts w:ascii="Times New Roman" w:hAnsi="Times New Roman" w:cs="Times New Roman"/>
          <w:sz w:val="24"/>
          <w:szCs w:val="24"/>
        </w:rPr>
        <w:t xml:space="preserve"> in some circumstances it </w:t>
      </w:r>
      <w:r w:rsidR="004C6DCF" w:rsidRPr="00462C0B">
        <w:rPr>
          <w:rFonts w:ascii="Times New Roman" w:hAnsi="Times New Roman" w:cs="Times New Roman"/>
          <w:sz w:val="24"/>
          <w:szCs w:val="24"/>
        </w:rPr>
        <w:t>was</w:t>
      </w:r>
      <w:r w:rsidRPr="00462C0B">
        <w:rPr>
          <w:rFonts w:ascii="Times New Roman" w:hAnsi="Times New Roman" w:cs="Times New Roman"/>
          <w:sz w:val="24"/>
          <w:szCs w:val="24"/>
        </w:rPr>
        <w:t xml:space="preserve"> felt that Local Authorities spen</w:t>
      </w:r>
      <w:r w:rsidR="004C6DCF" w:rsidRPr="00462C0B">
        <w:rPr>
          <w:rFonts w:ascii="Times New Roman" w:hAnsi="Times New Roman" w:cs="Times New Roman"/>
          <w:sz w:val="24"/>
          <w:szCs w:val="24"/>
        </w:rPr>
        <w:t>t</w:t>
      </w:r>
      <w:r w:rsidRPr="00462C0B">
        <w:rPr>
          <w:rFonts w:ascii="Times New Roman" w:hAnsi="Times New Roman" w:cs="Times New Roman"/>
          <w:sz w:val="24"/>
          <w:szCs w:val="24"/>
        </w:rPr>
        <w:t xml:space="preserve"> a long </w:t>
      </w:r>
      <w:r w:rsidR="004C6DCF" w:rsidRPr="00462C0B">
        <w:rPr>
          <w:rFonts w:ascii="Times New Roman" w:hAnsi="Times New Roman" w:cs="Times New Roman"/>
          <w:sz w:val="24"/>
          <w:szCs w:val="24"/>
        </w:rPr>
        <w:t xml:space="preserve">time </w:t>
      </w:r>
      <w:r w:rsidRPr="00462C0B">
        <w:rPr>
          <w:rFonts w:ascii="Times New Roman" w:hAnsi="Times New Roman" w:cs="Times New Roman"/>
          <w:sz w:val="24"/>
          <w:szCs w:val="24"/>
        </w:rPr>
        <w:t>detailing such agreements but often fail</w:t>
      </w:r>
      <w:r w:rsidR="004C6DCF" w:rsidRPr="00462C0B">
        <w:rPr>
          <w:rFonts w:ascii="Times New Roman" w:hAnsi="Times New Roman" w:cs="Times New Roman"/>
          <w:sz w:val="24"/>
          <w:szCs w:val="24"/>
        </w:rPr>
        <w:t>ed</w:t>
      </w:r>
      <w:r w:rsidRPr="00462C0B">
        <w:rPr>
          <w:rFonts w:ascii="Times New Roman" w:hAnsi="Times New Roman" w:cs="Times New Roman"/>
          <w:sz w:val="24"/>
          <w:szCs w:val="24"/>
        </w:rPr>
        <w:t xml:space="preserve"> to enforce </w:t>
      </w:r>
      <w:proofErr w:type="gramStart"/>
      <w:r w:rsidR="006D2C11" w:rsidRPr="00462C0B">
        <w:rPr>
          <w:rFonts w:ascii="Times New Roman" w:hAnsi="Times New Roman" w:cs="Times New Roman"/>
          <w:sz w:val="24"/>
          <w:szCs w:val="24"/>
        </w:rPr>
        <w:t>th</w:t>
      </w:r>
      <w:r w:rsidR="004C6DCF" w:rsidRPr="00462C0B">
        <w:rPr>
          <w:rFonts w:ascii="Times New Roman" w:hAnsi="Times New Roman" w:cs="Times New Roman"/>
          <w:sz w:val="24"/>
          <w:szCs w:val="24"/>
        </w:rPr>
        <w:t>ese</w:t>
      </w:r>
      <w:r w:rsidR="006D2C11" w:rsidRPr="00462C0B">
        <w:rPr>
          <w:rFonts w:ascii="Times New Roman" w:hAnsi="Times New Roman" w:cs="Times New Roman"/>
          <w:sz w:val="24"/>
          <w:szCs w:val="24"/>
        </w:rPr>
        <w:t xml:space="preserve"> once planning permission</w:t>
      </w:r>
      <w:proofErr w:type="gramEnd"/>
      <w:r w:rsidRPr="00462C0B">
        <w:rPr>
          <w:rFonts w:ascii="Times New Roman" w:hAnsi="Times New Roman" w:cs="Times New Roman"/>
          <w:sz w:val="24"/>
          <w:szCs w:val="24"/>
        </w:rPr>
        <w:t xml:space="preserve"> </w:t>
      </w:r>
      <w:r w:rsidR="004C6DCF" w:rsidRPr="00462C0B">
        <w:rPr>
          <w:rFonts w:ascii="Times New Roman" w:hAnsi="Times New Roman" w:cs="Times New Roman"/>
          <w:sz w:val="24"/>
          <w:szCs w:val="24"/>
        </w:rPr>
        <w:t>was</w:t>
      </w:r>
      <w:r w:rsidRPr="00462C0B">
        <w:rPr>
          <w:rFonts w:ascii="Times New Roman" w:hAnsi="Times New Roman" w:cs="Times New Roman"/>
          <w:sz w:val="24"/>
          <w:szCs w:val="24"/>
        </w:rPr>
        <w:t xml:space="preserve"> granted, leaving a substantial gap between what </w:t>
      </w:r>
      <w:r w:rsidR="004C6DCF" w:rsidRPr="00462C0B">
        <w:rPr>
          <w:rFonts w:ascii="Times New Roman" w:hAnsi="Times New Roman" w:cs="Times New Roman"/>
          <w:sz w:val="24"/>
          <w:szCs w:val="24"/>
        </w:rPr>
        <w:t>was</w:t>
      </w:r>
      <w:r w:rsidRPr="00462C0B">
        <w:rPr>
          <w:rFonts w:ascii="Times New Roman" w:hAnsi="Times New Roman" w:cs="Times New Roman"/>
          <w:sz w:val="24"/>
          <w:szCs w:val="24"/>
        </w:rPr>
        <w:t xml:space="preserve"> promised by developers and what </w:t>
      </w:r>
      <w:r w:rsidR="004C6DCF" w:rsidRPr="00462C0B">
        <w:rPr>
          <w:rFonts w:ascii="Times New Roman" w:hAnsi="Times New Roman" w:cs="Times New Roman"/>
          <w:sz w:val="24"/>
          <w:szCs w:val="24"/>
        </w:rPr>
        <w:t>was</w:t>
      </w:r>
      <w:r w:rsidRPr="00462C0B">
        <w:rPr>
          <w:rFonts w:ascii="Times New Roman" w:hAnsi="Times New Roman" w:cs="Times New Roman"/>
          <w:sz w:val="24"/>
          <w:szCs w:val="24"/>
        </w:rPr>
        <w:t xml:space="preserve"> delivered (Briggs </w:t>
      </w:r>
      <w:r w:rsidRPr="00462C0B">
        <w:rPr>
          <w:rFonts w:ascii="Times New Roman" w:hAnsi="Times New Roman" w:cs="Times New Roman"/>
          <w:i/>
          <w:iCs/>
          <w:sz w:val="24"/>
          <w:szCs w:val="24"/>
        </w:rPr>
        <w:t>et al</w:t>
      </w:r>
      <w:r w:rsidR="004C6DCF" w:rsidRPr="00462C0B">
        <w:rPr>
          <w:rFonts w:ascii="Times New Roman" w:hAnsi="Times New Roman" w:cs="Times New Roman"/>
          <w:sz w:val="24"/>
          <w:szCs w:val="24"/>
        </w:rPr>
        <w:t>.</w:t>
      </w:r>
      <w:r w:rsidRPr="00462C0B">
        <w:rPr>
          <w:rFonts w:ascii="Times New Roman" w:hAnsi="Times New Roman" w:cs="Times New Roman"/>
          <w:sz w:val="24"/>
          <w:szCs w:val="24"/>
        </w:rPr>
        <w:t xml:space="preserve"> 2009)</w:t>
      </w:r>
      <w:r w:rsidR="006D2C11" w:rsidRPr="00462C0B">
        <w:rPr>
          <w:rFonts w:ascii="Times New Roman" w:hAnsi="Times New Roman" w:cs="Times New Roman"/>
          <w:sz w:val="24"/>
          <w:szCs w:val="24"/>
        </w:rPr>
        <w:t xml:space="preserve">. </w:t>
      </w:r>
    </w:p>
    <w:p w14:paraId="09DEF3E5" w14:textId="31B5AE21" w:rsidR="00532821" w:rsidRPr="00462C0B" w:rsidRDefault="00532821" w:rsidP="001C641A">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In April 2012 the UK government established pilot biodiversity offset </w:t>
      </w:r>
      <w:r w:rsidR="007C6FED" w:rsidRPr="00462C0B">
        <w:rPr>
          <w:rFonts w:ascii="Times New Roman" w:hAnsi="Times New Roman" w:cs="Times New Roman"/>
          <w:sz w:val="24"/>
          <w:szCs w:val="24"/>
        </w:rPr>
        <w:t xml:space="preserve">markets </w:t>
      </w:r>
      <w:r w:rsidRPr="00462C0B">
        <w:rPr>
          <w:rFonts w:ascii="Times New Roman" w:hAnsi="Times New Roman" w:cs="Times New Roman"/>
          <w:sz w:val="24"/>
          <w:szCs w:val="24"/>
        </w:rPr>
        <w:t xml:space="preserve">for six local authorities </w:t>
      </w:r>
      <w:r w:rsidR="007C6FED" w:rsidRPr="00462C0B">
        <w:rPr>
          <w:rFonts w:ascii="Times New Roman" w:hAnsi="Times New Roman" w:cs="Times New Roman"/>
          <w:sz w:val="24"/>
          <w:szCs w:val="24"/>
        </w:rPr>
        <w:t>that</w:t>
      </w:r>
      <w:r w:rsidRPr="00462C0B">
        <w:rPr>
          <w:rFonts w:ascii="Times New Roman" w:hAnsi="Times New Roman" w:cs="Times New Roman"/>
          <w:sz w:val="24"/>
          <w:szCs w:val="24"/>
        </w:rPr>
        <w:t xml:space="preserve"> ran for two years</w:t>
      </w:r>
      <w:r w:rsidR="009C0A99" w:rsidRPr="00462C0B">
        <w:rPr>
          <w:rFonts w:ascii="Times New Roman" w:hAnsi="Times New Roman" w:cs="Times New Roman"/>
          <w:sz w:val="24"/>
          <w:szCs w:val="24"/>
        </w:rPr>
        <w:t>.</w:t>
      </w:r>
      <w:r w:rsidRPr="00462C0B">
        <w:rPr>
          <w:rFonts w:ascii="Times New Roman" w:hAnsi="Times New Roman" w:cs="Times New Roman"/>
          <w:sz w:val="24"/>
          <w:szCs w:val="24"/>
        </w:rPr>
        <w:t xml:space="preserve"> </w:t>
      </w:r>
      <w:r w:rsidR="009C0A99" w:rsidRPr="00462C0B">
        <w:rPr>
          <w:rFonts w:ascii="Times New Roman" w:hAnsi="Times New Roman" w:cs="Times New Roman"/>
          <w:sz w:val="24"/>
          <w:szCs w:val="24"/>
        </w:rPr>
        <w:t>T</w:t>
      </w:r>
      <w:r w:rsidRPr="00462C0B">
        <w:rPr>
          <w:rFonts w:ascii="Times New Roman" w:hAnsi="Times New Roman" w:cs="Times New Roman"/>
          <w:sz w:val="24"/>
          <w:szCs w:val="24"/>
        </w:rPr>
        <w:t>he aim of the</w:t>
      </w:r>
      <w:r w:rsidR="009C0A99" w:rsidRPr="00462C0B">
        <w:rPr>
          <w:rFonts w:ascii="Times New Roman" w:hAnsi="Times New Roman" w:cs="Times New Roman"/>
          <w:sz w:val="24"/>
          <w:szCs w:val="24"/>
        </w:rPr>
        <w:t>se</w:t>
      </w:r>
      <w:r w:rsidRPr="00462C0B">
        <w:rPr>
          <w:rFonts w:ascii="Times New Roman" w:hAnsi="Times New Roman" w:cs="Times New Roman"/>
          <w:sz w:val="24"/>
          <w:szCs w:val="24"/>
        </w:rPr>
        <w:t xml:space="preserve"> biodiversity offsetting pilots was “to develop a body of information and evidence to inform a future decision about whether to use biodiversity offsetting across England</w:t>
      </w:r>
      <w:r w:rsidR="009C0A99" w:rsidRPr="00462C0B">
        <w:rPr>
          <w:rFonts w:ascii="Times New Roman" w:hAnsi="Times New Roman" w:cs="Times New Roman"/>
          <w:sz w:val="24"/>
          <w:szCs w:val="24"/>
        </w:rPr>
        <w:t>”</w:t>
      </w:r>
      <w:r w:rsidRPr="00462C0B">
        <w:rPr>
          <w:rFonts w:ascii="Times New Roman" w:hAnsi="Times New Roman" w:cs="Times New Roman"/>
          <w:sz w:val="24"/>
          <w:szCs w:val="24"/>
        </w:rPr>
        <w:t xml:space="preserve"> (Defra 201</w:t>
      </w:r>
      <w:r w:rsidR="00857B91" w:rsidRPr="00462C0B">
        <w:rPr>
          <w:rFonts w:ascii="Times New Roman" w:hAnsi="Times New Roman" w:cs="Times New Roman"/>
          <w:sz w:val="24"/>
          <w:szCs w:val="24"/>
        </w:rPr>
        <w:t>3</w:t>
      </w:r>
      <w:r w:rsidRPr="00462C0B">
        <w:rPr>
          <w:rFonts w:ascii="Times New Roman" w:hAnsi="Times New Roman" w:cs="Times New Roman"/>
          <w:sz w:val="24"/>
          <w:szCs w:val="24"/>
        </w:rPr>
        <w:t>). Within the pilot areas</w:t>
      </w:r>
      <w:r w:rsidR="007C6FED" w:rsidRPr="00462C0B">
        <w:rPr>
          <w:rFonts w:ascii="Times New Roman" w:hAnsi="Times New Roman" w:cs="Times New Roman"/>
          <w:sz w:val="24"/>
          <w:szCs w:val="24"/>
        </w:rPr>
        <w:t>,</w:t>
      </w:r>
      <w:r w:rsidRPr="00462C0B">
        <w:rPr>
          <w:rFonts w:ascii="Times New Roman" w:hAnsi="Times New Roman" w:cs="Times New Roman"/>
          <w:sz w:val="24"/>
          <w:szCs w:val="24"/>
        </w:rPr>
        <w:t xml:space="preserve"> developers who were </w:t>
      </w:r>
      <w:r w:rsidR="00703682">
        <w:rPr>
          <w:rFonts w:ascii="Times New Roman" w:hAnsi="Times New Roman" w:cs="Times New Roman"/>
          <w:sz w:val="24"/>
          <w:szCs w:val="24"/>
        </w:rPr>
        <w:t xml:space="preserve">legally </w:t>
      </w:r>
      <w:r w:rsidRPr="00462C0B">
        <w:rPr>
          <w:rFonts w:ascii="Times New Roman" w:hAnsi="Times New Roman" w:cs="Times New Roman"/>
          <w:sz w:val="24"/>
          <w:szCs w:val="24"/>
        </w:rPr>
        <w:t xml:space="preserve">required to provide compensation for biodiversity loss could choose to do so through </w:t>
      </w:r>
      <w:r w:rsidR="00703682">
        <w:rPr>
          <w:rFonts w:ascii="Times New Roman" w:hAnsi="Times New Roman" w:cs="Times New Roman"/>
          <w:sz w:val="24"/>
          <w:szCs w:val="24"/>
        </w:rPr>
        <w:t>the purchase of biodiversity offsets</w:t>
      </w:r>
      <w:r w:rsidRPr="00462C0B">
        <w:rPr>
          <w:rFonts w:ascii="Times New Roman" w:hAnsi="Times New Roman" w:cs="Times New Roman"/>
          <w:sz w:val="24"/>
          <w:szCs w:val="24"/>
        </w:rPr>
        <w:t xml:space="preserve">. </w:t>
      </w:r>
      <w:r w:rsidR="00703682">
        <w:rPr>
          <w:rFonts w:ascii="Times New Roman" w:hAnsi="Times New Roman" w:cs="Times New Roman"/>
          <w:sz w:val="24"/>
          <w:szCs w:val="24"/>
        </w:rPr>
        <w:t xml:space="preserve">Alternatively, developers could choose to undertake their own compensatory actions, rather than purchase credits via an offset supplier. </w:t>
      </w:r>
      <w:r w:rsidRPr="00462C0B">
        <w:rPr>
          <w:rFonts w:ascii="Times New Roman" w:hAnsi="Times New Roman" w:cs="Times New Roman"/>
          <w:sz w:val="24"/>
          <w:szCs w:val="24"/>
        </w:rPr>
        <w:t xml:space="preserve">The pilot </w:t>
      </w:r>
      <w:proofErr w:type="spellStart"/>
      <w:r w:rsidR="00CD15F6" w:rsidRPr="00462C0B">
        <w:rPr>
          <w:rFonts w:ascii="Times New Roman" w:hAnsi="Times New Roman" w:cs="Times New Roman"/>
          <w:sz w:val="24"/>
          <w:szCs w:val="24"/>
        </w:rPr>
        <w:t>targetted</w:t>
      </w:r>
      <w:proofErr w:type="spellEnd"/>
      <w:r w:rsidR="00CD15F6" w:rsidRPr="00462C0B">
        <w:rPr>
          <w:rFonts w:ascii="Times New Roman" w:hAnsi="Times New Roman" w:cs="Times New Roman"/>
          <w:sz w:val="24"/>
          <w:szCs w:val="24"/>
        </w:rPr>
        <w:t xml:space="preserve"> NNL </w:t>
      </w:r>
      <w:r w:rsidRPr="00462C0B">
        <w:rPr>
          <w:rFonts w:ascii="Times New Roman" w:hAnsi="Times New Roman" w:cs="Times New Roman"/>
          <w:sz w:val="24"/>
          <w:szCs w:val="24"/>
        </w:rPr>
        <w:t xml:space="preserve">of biodiversity, with the aim that offsets should be additional i.e. it should expand and restore habitats and enhance the ecological network by joining linking conservation areas. </w:t>
      </w:r>
      <w:r w:rsidR="00CD15F6" w:rsidRPr="00462C0B">
        <w:rPr>
          <w:rFonts w:ascii="Times New Roman" w:hAnsi="Times New Roman" w:cs="Times New Roman"/>
          <w:sz w:val="24"/>
          <w:szCs w:val="24"/>
        </w:rPr>
        <w:t>T</w:t>
      </w:r>
      <w:r w:rsidRPr="00462C0B">
        <w:rPr>
          <w:rFonts w:ascii="Times New Roman" w:hAnsi="Times New Roman" w:cs="Times New Roman"/>
          <w:sz w:val="24"/>
          <w:szCs w:val="24"/>
        </w:rPr>
        <w:t xml:space="preserve">he </w:t>
      </w:r>
      <w:r w:rsidR="000A7509" w:rsidRPr="00462C0B">
        <w:rPr>
          <w:rFonts w:ascii="Times New Roman" w:hAnsi="Times New Roman" w:cs="Times New Roman"/>
          <w:sz w:val="24"/>
          <w:szCs w:val="24"/>
        </w:rPr>
        <w:t xml:space="preserve">aim of </w:t>
      </w:r>
      <w:r w:rsidR="00AB2EEB" w:rsidRPr="00462C0B">
        <w:rPr>
          <w:rFonts w:ascii="Times New Roman" w:hAnsi="Times New Roman" w:cs="Times New Roman"/>
          <w:sz w:val="24"/>
          <w:szCs w:val="24"/>
        </w:rPr>
        <w:t xml:space="preserve">the </w:t>
      </w:r>
      <w:r w:rsidRPr="00462C0B">
        <w:rPr>
          <w:rFonts w:ascii="Times New Roman" w:hAnsi="Times New Roman" w:cs="Times New Roman"/>
          <w:sz w:val="24"/>
          <w:szCs w:val="24"/>
        </w:rPr>
        <w:t xml:space="preserve">scheme </w:t>
      </w:r>
      <w:r w:rsidR="000A7509" w:rsidRPr="00462C0B">
        <w:rPr>
          <w:rFonts w:ascii="Times New Roman" w:hAnsi="Times New Roman" w:cs="Times New Roman"/>
          <w:sz w:val="24"/>
          <w:szCs w:val="24"/>
        </w:rPr>
        <w:t xml:space="preserve">was to </w:t>
      </w:r>
      <w:r w:rsidRPr="00462C0B">
        <w:rPr>
          <w:rFonts w:ascii="Times New Roman" w:hAnsi="Times New Roman" w:cs="Times New Roman"/>
          <w:sz w:val="24"/>
          <w:szCs w:val="24"/>
        </w:rPr>
        <w:t>be managed at the local level</w:t>
      </w:r>
      <w:r w:rsidR="00A22364" w:rsidRPr="00462C0B">
        <w:rPr>
          <w:rFonts w:ascii="Times New Roman" w:hAnsi="Times New Roman" w:cs="Times New Roman"/>
          <w:sz w:val="24"/>
          <w:szCs w:val="24"/>
        </w:rPr>
        <w:t>, with efforts made to avoid</w:t>
      </w:r>
      <w:r w:rsidRPr="00462C0B">
        <w:rPr>
          <w:rFonts w:ascii="Times New Roman" w:hAnsi="Times New Roman" w:cs="Times New Roman"/>
          <w:sz w:val="24"/>
          <w:szCs w:val="24"/>
        </w:rPr>
        <w:t xml:space="preserve"> creat</w:t>
      </w:r>
      <w:r w:rsidR="00A22364" w:rsidRPr="00462C0B">
        <w:rPr>
          <w:rFonts w:ascii="Times New Roman" w:hAnsi="Times New Roman" w:cs="Times New Roman"/>
          <w:sz w:val="24"/>
          <w:szCs w:val="24"/>
        </w:rPr>
        <w:t>ing</w:t>
      </w:r>
      <w:r w:rsidRPr="00462C0B">
        <w:rPr>
          <w:rFonts w:ascii="Times New Roman" w:hAnsi="Times New Roman" w:cs="Times New Roman"/>
          <w:sz w:val="24"/>
          <w:szCs w:val="24"/>
        </w:rPr>
        <w:t xml:space="preserve"> additional administrative burdens for developers and local authorities (Defra 201</w:t>
      </w:r>
      <w:r w:rsidR="00CB5C4E" w:rsidRPr="00462C0B">
        <w:rPr>
          <w:rFonts w:ascii="Times New Roman" w:hAnsi="Times New Roman" w:cs="Times New Roman"/>
          <w:sz w:val="24"/>
          <w:szCs w:val="24"/>
        </w:rPr>
        <w:t>3</w:t>
      </w:r>
      <w:r w:rsidRPr="00462C0B">
        <w:rPr>
          <w:rFonts w:ascii="Times New Roman" w:hAnsi="Times New Roman" w:cs="Times New Roman"/>
          <w:sz w:val="24"/>
          <w:szCs w:val="24"/>
        </w:rPr>
        <w:t>).</w:t>
      </w:r>
    </w:p>
    <w:p w14:paraId="493F54E2" w14:textId="1C84A1F2" w:rsidR="00532821" w:rsidRPr="00462C0B" w:rsidRDefault="00532821" w:rsidP="00CB5C4E">
      <w:pPr>
        <w:spacing w:line="360" w:lineRule="auto"/>
        <w:rPr>
          <w:rFonts w:ascii="Times New Roman" w:hAnsi="Times New Roman" w:cs="Times New Roman"/>
          <w:sz w:val="24"/>
          <w:szCs w:val="24"/>
        </w:rPr>
      </w:pPr>
      <w:r w:rsidRPr="00462C0B">
        <w:rPr>
          <w:rFonts w:ascii="Times New Roman" w:hAnsi="Times New Roman" w:cs="Times New Roman"/>
          <w:sz w:val="24"/>
          <w:szCs w:val="24"/>
        </w:rPr>
        <w:t>The offset metric was based on habitats</w:t>
      </w:r>
      <w:r w:rsidR="001C641A" w:rsidRPr="00462C0B">
        <w:rPr>
          <w:rFonts w:ascii="Times New Roman" w:hAnsi="Times New Roman" w:cs="Times New Roman"/>
          <w:sz w:val="24"/>
          <w:szCs w:val="24"/>
        </w:rPr>
        <w:t xml:space="preserve"> and </w:t>
      </w:r>
      <w:proofErr w:type="gramStart"/>
      <w:r w:rsidR="001C641A" w:rsidRPr="00462C0B">
        <w:rPr>
          <w:rFonts w:ascii="Times New Roman" w:hAnsi="Times New Roman" w:cs="Times New Roman"/>
          <w:sz w:val="24"/>
          <w:szCs w:val="24"/>
        </w:rPr>
        <w:t xml:space="preserve">took into </w:t>
      </w:r>
      <w:r w:rsidRPr="00462C0B">
        <w:rPr>
          <w:rFonts w:ascii="Times New Roman" w:hAnsi="Times New Roman" w:cs="Times New Roman"/>
          <w:sz w:val="24"/>
          <w:szCs w:val="24"/>
        </w:rPr>
        <w:t>account</w:t>
      </w:r>
      <w:proofErr w:type="gramEnd"/>
      <w:r w:rsidRPr="00462C0B">
        <w:rPr>
          <w:rFonts w:ascii="Times New Roman" w:hAnsi="Times New Roman" w:cs="Times New Roman"/>
          <w:sz w:val="24"/>
          <w:szCs w:val="24"/>
        </w:rPr>
        <w:t xml:space="preserve"> </w:t>
      </w:r>
      <w:r w:rsidR="00343143">
        <w:rPr>
          <w:rFonts w:ascii="Times New Roman" w:hAnsi="Times New Roman" w:cs="Times New Roman"/>
          <w:sz w:val="24"/>
          <w:szCs w:val="24"/>
        </w:rPr>
        <w:t xml:space="preserve">spatial variation in </w:t>
      </w:r>
      <w:r w:rsidRPr="00462C0B">
        <w:rPr>
          <w:rFonts w:ascii="Times New Roman" w:hAnsi="Times New Roman" w:cs="Times New Roman"/>
          <w:sz w:val="24"/>
          <w:szCs w:val="24"/>
        </w:rPr>
        <w:t xml:space="preserve">species richness, diversity, rarity (at local, regional, national and international scales) and the degree to which </w:t>
      </w:r>
      <w:r w:rsidR="001C641A" w:rsidRPr="00462C0B">
        <w:rPr>
          <w:rFonts w:ascii="Times New Roman" w:hAnsi="Times New Roman" w:cs="Times New Roman"/>
          <w:sz w:val="24"/>
          <w:szCs w:val="24"/>
        </w:rPr>
        <w:t xml:space="preserve">the </w:t>
      </w:r>
      <w:r w:rsidRPr="00462C0B">
        <w:rPr>
          <w:rFonts w:ascii="Times New Roman" w:hAnsi="Times New Roman" w:cs="Times New Roman"/>
          <w:sz w:val="24"/>
          <w:szCs w:val="24"/>
        </w:rPr>
        <w:t>habitat support</w:t>
      </w:r>
      <w:r w:rsidR="001C641A" w:rsidRPr="00462C0B">
        <w:rPr>
          <w:rFonts w:ascii="Times New Roman" w:hAnsi="Times New Roman" w:cs="Times New Roman"/>
          <w:sz w:val="24"/>
          <w:szCs w:val="24"/>
        </w:rPr>
        <w:t>ed</w:t>
      </w:r>
      <w:r w:rsidRPr="00462C0B">
        <w:rPr>
          <w:rFonts w:ascii="Times New Roman" w:hAnsi="Times New Roman" w:cs="Times New Roman"/>
          <w:sz w:val="24"/>
          <w:szCs w:val="24"/>
        </w:rPr>
        <w:t xml:space="preserve"> species rarely found in other </w:t>
      </w:r>
      <w:r w:rsidR="00B82EBC" w:rsidRPr="00462C0B">
        <w:rPr>
          <w:rFonts w:ascii="Times New Roman" w:hAnsi="Times New Roman" w:cs="Times New Roman"/>
          <w:sz w:val="24"/>
          <w:szCs w:val="24"/>
        </w:rPr>
        <w:t>habitats.</w:t>
      </w:r>
      <w:r w:rsidRPr="00462C0B">
        <w:rPr>
          <w:rFonts w:ascii="Times New Roman" w:hAnsi="Times New Roman" w:cs="Times New Roman"/>
          <w:sz w:val="24"/>
          <w:szCs w:val="24"/>
        </w:rPr>
        <w:t xml:space="preserve"> </w:t>
      </w:r>
      <w:r w:rsidR="001C641A" w:rsidRPr="00462C0B">
        <w:rPr>
          <w:rFonts w:ascii="Times New Roman" w:hAnsi="Times New Roman" w:cs="Times New Roman"/>
          <w:sz w:val="24"/>
          <w:szCs w:val="24"/>
        </w:rPr>
        <w:t>Site c</w:t>
      </w:r>
      <w:r w:rsidRPr="00462C0B">
        <w:rPr>
          <w:rFonts w:ascii="Times New Roman" w:hAnsi="Times New Roman" w:cs="Times New Roman"/>
          <w:sz w:val="24"/>
          <w:szCs w:val="24"/>
        </w:rPr>
        <w:t xml:space="preserve">ondition </w:t>
      </w:r>
      <w:r w:rsidR="001C641A" w:rsidRPr="00462C0B">
        <w:rPr>
          <w:rFonts w:ascii="Times New Roman" w:hAnsi="Times New Roman" w:cs="Times New Roman"/>
          <w:sz w:val="24"/>
          <w:szCs w:val="24"/>
        </w:rPr>
        <w:t xml:space="preserve">was assessed using the same tool </w:t>
      </w:r>
      <w:r w:rsidRPr="00462C0B">
        <w:rPr>
          <w:rFonts w:ascii="Times New Roman" w:hAnsi="Times New Roman" w:cs="Times New Roman"/>
          <w:sz w:val="24"/>
          <w:szCs w:val="24"/>
        </w:rPr>
        <w:t xml:space="preserve">as the </w:t>
      </w:r>
      <w:proofErr w:type="gramStart"/>
      <w:r w:rsidRPr="00462C0B">
        <w:rPr>
          <w:rFonts w:ascii="Times New Roman" w:hAnsi="Times New Roman" w:cs="Times New Roman"/>
          <w:sz w:val="24"/>
          <w:szCs w:val="24"/>
        </w:rPr>
        <w:t>Higher Level</w:t>
      </w:r>
      <w:proofErr w:type="gramEnd"/>
      <w:r w:rsidRPr="00462C0B">
        <w:rPr>
          <w:rFonts w:ascii="Times New Roman" w:hAnsi="Times New Roman" w:cs="Times New Roman"/>
          <w:sz w:val="24"/>
          <w:szCs w:val="24"/>
        </w:rPr>
        <w:t xml:space="preserve"> </w:t>
      </w:r>
      <w:r w:rsidR="00762061" w:rsidRPr="00462C0B">
        <w:rPr>
          <w:rFonts w:ascii="Times New Roman" w:hAnsi="Times New Roman" w:cs="Times New Roman"/>
          <w:sz w:val="24"/>
          <w:szCs w:val="24"/>
        </w:rPr>
        <w:t>Stewardship agri-environmental s</w:t>
      </w:r>
      <w:r w:rsidRPr="00462C0B">
        <w:rPr>
          <w:rFonts w:ascii="Times New Roman" w:hAnsi="Times New Roman" w:cs="Times New Roman"/>
          <w:sz w:val="24"/>
          <w:szCs w:val="24"/>
        </w:rPr>
        <w:t>cheme</w:t>
      </w:r>
      <w:r w:rsidR="001C641A" w:rsidRPr="00462C0B">
        <w:rPr>
          <w:rFonts w:ascii="Times New Roman" w:hAnsi="Times New Roman" w:cs="Times New Roman"/>
          <w:sz w:val="24"/>
          <w:szCs w:val="24"/>
        </w:rPr>
        <w:t>. M</w:t>
      </w:r>
      <w:r w:rsidRPr="00462C0B">
        <w:rPr>
          <w:rFonts w:ascii="Times New Roman" w:hAnsi="Times New Roman" w:cs="Times New Roman"/>
          <w:sz w:val="24"/>
          <w:szCs w:val="24"/>
        </w:rPr>
        <w:t xml:space="preserve">ultipliers were applied to </w:t>
      </w:r>
      <w:proofErr w:type="gramStart"/>
      <w:r w:rsidRPr="00462C0B">
        <w:rPr>
          <w:rFonts w:ascii="Times New Roman" w:hAnsi="Times New Roman" w:cs="Times New Roman"/>
          <w:sz w:val="24"/>
          <w:szCs w:val="24"/>
        </w:rPr>
        <w:t>take into account</w:t>
      </w:r>
      <w:proofErr w:type="gramEnd"/>
      <w:r w:rsidRPr="00462C0B">
        <w:rPr>
          <w:rFonts w:ascii="Times New Roman" w:hAnsi="Times New Roman" w:cs="Times New Roman"/>
          <w:sz w:val="24"/>
          <w:szCs w:val="24"/>
        </w:rPr>
        <w:t xml:space="preserve"> the </w:t>
      </w:r>
      <w:r w:rsidR="00C967E8">
        <w:rPr>
          <w:rFonts w:ascii="Times New Roman" w:hAnsi="Times New Roman" w:cs="Times New Roman"/>
          <w:sz w:val="24"/>
          <w:szCs w:val="24"/>
        </w:rPr>
        <w:t xml:space="preserve">under-delivery </w:t>
      </w:r>
      <w:r w:rsidRPr="00462C0B">
        <w:rPr>
          <w:rFonts w:ascii="Times New Roman" w:hAnsi="Times New Roman" w:cs="Times New Roman"/>
          <w:sz w:val="24"/>
          <w:szCs w:val="24"/>
        </w:rPr>
        <w:t xml:space="preserve">risk associated with restoring or expanding certain habitats and to take into account locational differences between the offset site and </w:t>
      </w:r>
      <w:r w:rsidR="001C641A" w:rsidRPr="00462C0B">
        <w:rPr>
          <w:rFonts w:ascii="Times New Roman" w:hAnsi="Times New Roman" w:cs="Times New Roman"/>
          <w:sz w:val="24"/>
          <w:szCs w:val="24"/>
        </w:rPr>
        <w:t xml:space="preserve">the </w:t>
      </w:r>
      <w:r w:rsidRPr="00462C0B">
        <w:rPr>
          <w:rFonts w:ascii="Times New Roman" w:hAnsi="Times New Roman" w:cs="Times New Roman"/>
          <w:sz w:val="24"/>
          <w:szCs w:val="24"/>
        </w:rPr>
        <w:t xml:space="preserve">original site. There was an expectation that multipliers associated with time differences between the habitat destruction and offset provision would incentivize the </w:t>
      </w:r>
      <w:r w:rsidRPr="00462C0B">
        <w:rPr>
          <w:rFonts w:ascii="Times New Roman" w:hAnsi="Times New Roman" w:cs="Times New Roman"/>
          <w:sz w:val="24"/>
          <w:szCs w:val="24"/>
        </w:rPr>
        <w:lastRenderedPageBreak/>
        <w:t>creation of habitat banks by starting the offset development well ahead of the proposed project (Defra 201</w:t>
      </w:r>
      <w:r w:rsidR="00CB5C4E" w:rsidRPr="00462C0B">
        <w:rPr>
          <w:rFonts w:ascii="Times New Roman" w:hAnsi="Times New Roman" w:cs="Times New Roman"/>
          <w:sz w:val="24"/>
          <w:szCs w:val="24"/>
        </w:rPr>
        <w:t>3</w:t>
      </w:r>
      <w:r w:rsidRPr="00462C0B">
        <w:rPr>
          <w:rFonts w:ascii="Times New Roman" w:hAnsi="Times New Roman" w:cs="Times New Roman"/>
          <w:sz w:val="24"/>
          <w:szCs w:val="24"/>
        </w:rPr>
        <w:t>).</w:t>
      </w:r>
    </w:p>
    <w:p w14:paraId="5CD083A5" w14:textId="00D6C35F" w:rsidR="0039060E" w:rsidRPr="00462C0B" w:rsidRDefault="00532821" w:rsidP="00C40F1E">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Following the completion of the pilots a variety of technical reports (Baker </w:t>
      </w:r>
      <w:r w:rsidRPr="00462C0B">
        <w:rPr>
          <w:rFonts w:ascii="Times New Roman" w:hAnsi="Times New Roman" w:cs="Times New Roman"/>
          <w:i/>
          <w:iCs/>
          <w:sz w:val="24"/>
          <w:szCs w:val="24"/>
        </w:rPr>
        <w:t>et al</w:t>
      </w:r>
      <w:r w:rsidR="00327EA4" w:rsidRPr="00462C0B">
        <w:rPr>
          <w:rFonts w:ascii="Times New Roman" w:hAnsi="Times New Roman" w:cs="Times New Roman"/>
          <w:i/>
          <w:iCs/>
          <w:sz w:val="24"/>
          <w:szCs w:val="24"/>
        </w:rPr>
        <w:t>.</w:t>
      </w:r>
      <w:r w:rsidRPr="00462C0B">
        <w:rPr>
          <w:rFonts w:ascii="Times New Roman" w:hAnsi="Times New Roman" w:cs="Times New Roman"/>
          <w:sz w:val="24"/>
          <w:szCs w:val="24"/>
        </w:rPr>
        <w:t xml:space="preserve"> 2016; Defra 2016) and articles (Lockhart 2015; Sullivan and Hannis 2015) have been published reviewing various aspects of the scheme: most notably the offset metric and market set up</w:t>
      </w:r>
      <w:r w:rsidR="009B5B4A" w:rsidRPr="00462C0B">
        <w:rPr>
          <w:rFonts w:ascii="Times New Roman" w:hAnsi="Times New Roman" w:cs="Times New Roman"/>
          <w:sz w:val="24"/>
          <w:szCs w:val="24"/>
        </w:rPr>
        <w:t xml:space="preserve"> (which we discuss in later sections of this paper).</w:t>
      </w:r>
    </w:p>
    <w:p w14:paraId="1DA840E3" w14:textId="75BDA2E4" w:rsidR="00532821" w:rsidRDefault="007C1F7C" w:rsidP="00AB2EEB">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Biodiversity offsetting is now embedded within the UK policy framework through the Environment Act 2021. </w:t>
      </w:r>
      <w:r w:rsidR="00B05399" w:rsidRPr="00462C0B">
        <w:rPr>
          <w:rFonts w:ascii="Times New Roman" w:hAnsi="Times New Roman" w:cs="Times New Roman"/>
          <w:sz w:val="24"/>
          <w:szCs w:val="24"/>
        </w:rPr>
        <w:t>D</w:t>
      </w:r>
      <w:r w:rsidR="0039060E" w:rsidRPr="00462C0B">
        <w:rPr>
          <w:rFonts w:ascii="Times New Roman" w:hAnsi="Times New Roman" w:cs="Times New Roman"/>
          <w:sz w:val="24"/>
          <w:szCs w:val="24"/>
        </w:rPr>
        <w:t>evelopment</w:t>
      </w:r>
      <w:r w:rsidR="00B05399" w:rsidRPr="00462C0B">
        <w:rPr>
          <w:rFonts w:ascii="Times New Roman" w:hAnsi="Times New Roman" w:cs="Times New Roman"/>
          <w:sz w:val="24"/>
          <w:szCs w:val="24"/>
        </w:rPr>
        <w:t>s</w:t>
      </w:r>
      <w:r w:rsidR="0039060E" w:rsidRPr="00462C0B">
        <w:rPr>
          <w:rFonts w:ascii="Times New Roman" w:hAnsi="Times New Roman" w:cs="Times New Roman"/>
          <w:sz w:val="24"/>
          <w:szCs w:val="24"/>
        </w:rPr>
        <w:t xml:space="preserve"> under the Town and Country Planning Act (i.e., nearly all residential, commercial, and mining construction) in England </w:t>
      </w:r>
      <w:r w:rsidR="00CA267C" w:rsidRPr="00462C0B">
        <w:rPr>
          <w:rFonts w:ascii="Times New Roman" w:hAnsi="Times New Roman" w:cs="Times New Roman"/>
          <w:sz w:val="24"/>
          <w:szCs w:val="24"/>
        </w:rPr>
        <w:t xml:space="preserve">will </w:t>
      </w:r>
      <w:r w:rsidR="00B05399" w:rsidRPr="00462C0B">
        <w:rPr>
          <w:rFonts w:ascii="Times New Roman" w:hAnsi="Times New Roman" w:cs="Times New Roman"/>
          <w:sz w:val="24"/>
          <w:szCs w:val="24"/>
        </w:rPr>
        <w:t xml:space="preserve">now </w:t>
      </w:r>
      <w:r w:rsidR="00CA267C" w:rsidRPr="00462C0B">
        <w:rPr>
          <w:rFonts w:ascii="Times New Roman" w:hAnsi="Times New Roman" w:cs="Times New Roman"/>
          <w:sz w:val="24"/>
          <w:szCs w:val="24"/>
        </w:rPr>
        <w:t xml:space="preserve">be </w:t>
      </w:r>
      <w:r w:rsidR="00B05399" w:rsidRPr="00462C0B">
        <w:rPr>
          <w:rFonts w:ascii="Times New Roman" w:hAnsi="Times New Roman" w:cs="Times New Roman"/>
          <w:sz w:val="24"/>
          <w:szCs w:val="24"/>
        </w:rPr>
        <w:t xml:space="preserve">required </w:t>
      </w:r>
      <w:r w:rsidR="00CA267C" w:rsidRPr="00462C0B">
        <w:rPr>
          <w:rFonts w:ascii="Times New Roman" w:hAnsi="Times New Roman" w:cs="Times New Roman"/>
          <w:sz w:val="24"/>
          <w:szCs w:val="24"/>
        </w:rPr>
        <w:t xml:space="preserve">from 2023 </w:t>
      </w:r>
      <w:r w:rsidR="0039060E" w:rsidRPr="00462C0B">
        <w:rPr>
          <w:rFonts w:ascii="Times New Roman" w:hAnsi="Times New Roman" w:cs="Times New Roman"/>
          <w:sz w:val="24"/>
          <w:szCs w:val="24"/>
        </w:rPr>
        <w:t xml:space="preserve">to deliver a mandatory net gain in biodiversity </w:t>
      </w:r>
      <w:r w:rsidR="001051FE" w:rsidRPr="00462C0B">
        <w:rPr>
          <w:rFonts w:ascii="Times New Roman" w:hAnsi="Times New Roman" w:cs="Times New Roman"/>
          <w:sz w:val="24"/>
          <w:szCs w:val="24"/>
        </w:rPr>
        <w:t xml:space="preserve">(zu Ermgassen </w:t>
      </w:r>
      <w:r w:rsidR="001051FE" w:rsidRPr="00462C0B">
        <w:rPr>
          <w:rFonts w:ascii="Times New Roman" w:hAnsi="Times New Roman" w:cs="Times New Roman"/>
          <w:i/>
          <w:iCs/>
          <w:sz w:val="24"/>
          <w:szCs w:val="24"/>
        </w:rPr>
        <w:t>et al</w:t>
      </w:r>
      <w:r w:rsidR="001051FE" w:rsidRPr="00462C0B">
        <w:rPr>
          <w:rFonts w:ascii="Times New Roman" w:hAnsi="Times New Roman" w:cs="Times New Roman"/>
          <w:sz w:val="24"/>
          <w:szCs w:val="24"/>
        </w:rPr>
        <w:t xml:space="preserve">. 2020). </w:t>
      </w:r>
      <w:r w:rsidR="00AB2EEB" w:rsidRPr="00462C0B">
        <w:rPr>
          <w:rFonts w:ascii="Times New Roman" w:hAnsi="Times New Roman" w:cs="Times New Roman"/>
          <w:sz w:val="24"/>
          <w:szCs w:val="24"/>
        </w:rPr>
        <w:t>T</w:t>
      </w:r>
      <w:r w:rsidR="00C40F1E" w:rsidRPr="00462C0B">
        <w:rPr>
          <w:rFonts w:ascii="Times New Roman" w:hAnsi="Times New Roman" w:cs="Times New Roman"/>
          <w:sz w:val="24"/>
          <w:szCs w:val="24"/>
        </w:rPr>
        <w:t>he 25 Year Environment Plan</w:t>
      </w:r>
      <w:r w:rsidR="00AB2EEB" w:rsidRPr="00462C0B">
        <w:rPr>
          <w:rFonts w:ascii="Times New Roman" w:hAnsi="Times New Roman" w:cs="Times New Roman"/>
          <w:sz w:val="24"/>
          <w:szCs w:val="24"/>
        </w:rPr>
        <w:t xml:space="preserve"> specifically identifies that this net gain could be delivered by “habitat banks, land-owners or brokers” as part of a flexible market</w:t>
      </w:r>
      <w:r w:rsidR="00C40F1E" w:rsidRPr="00462C0B">
        <w:rPr>
          <w:rFonts w:ascii="Times New Roman" w:hAnsi="Times New Roman" w:cs="Times New Roman"/>
          <w:sz w:val="24"/>
          <w:szCs w:val="24"/>
        </w:rPr>
        <w:t xml:space="preserve"> (HM Government 2018).</w:t>
      </w:r>
    </w:p>
    <w:p w14:paraId="38E12E59" w14:textId="6D3E35A8" w:rsidR="00E11D69" w:rsidRPr="00462C0B" w:rsidRDefault="00E11D69" w:rsidP="00D9631D">
      <w:pPr>
        <w:pStyle w:val="Heading2"/>
      </w:pPr>
      <w:r w:rsidRPr="00462C0B">
        <w:t>Offset Implementation</w:t>
      </w:r>
      <w:r w:rsidR="001E0C02" w:rsidRPr="00462C0B">
        <w:t xml:space="preserve">: emerging lessons </w:t>
      </w:r>
    </w:p>
    <w:p w14:paraId="017D7FA5" w14:textId="4D8DCA9F" w:rsidR="007F67D4" w:rsidRPr="00462C0B" w:rsidRDefault="00EE0242" w:rsidP="007F67D4">
      <w:pPr>
        <w:spacing w:line="360" w:lineRule="auto"/>
        <w:rPr>
          <w:rFonts w:asciiTheme="majorBidi" w:hAnsiTheme="majorBidi" w:cstheme="majorBidi"/>
          <w:sz w:val="24"/>
          <w:szCs w:val="24"/>
        </w:rPr>
      </w:pPr>
      <w:r w:rsidRPr="00462C0B">
        <w:rPr>
          <w:rFonts w:asciiTheme="majorBidi" w:hAnsiTheme="majorBidi" w:cstheme="majorBidi"/>
          <w:sz w:val="24"/>
          <w:szCs w:val="24"/>
        </w:rPr>
        <w:t>Of the 42 papers selected for this review</w:t>
      </w:r>
      <w:r w:rsidR="00392142" w:rsidRPr="00462C0B">
        <w:rPr>
          <w:rFonts w:asciiTheme="majorBidi" w:hAnsiTheme="majorBidi" w:cstheme="majorBidi"/>
          <w:sz w:val="24"/>
          <w:szCs w:val="24"/>
        </w:rPr>
        <w:t xml:space="preserve">, 23 used a case study analysis approach to understand and analyse multiple aspects of biodiversity offset markets. </w:t>
      </w:r>
      <w:r w:rsidR="00285E60" w:rsidRPr="00462C0B">
        <w:rPr>
          <w:rFonts w:asciiTheme="majorBidi" w:hAnsiTheme="majorBidi" w:cstheme="majorBidi"/>
          <w:sz w:val="24"/>
          <w:szCs w:val="24"/>
        </w:rPr>
        <w:t xml:space="preserve">These papers focussed on practical considerations of offset markets and aimed to evaluate the success and failure of existing biodiversity offset schemes and apply lessons learned to the emerging policy frameworks. </w:t>
      </w:r>
      <w:r w:rsidR="0091348B" w:rsidRPr="00462C0B">
        <w:rPr>
          <w:rFonts w:asciiTheme="majorBidi" w:hAnsiTheme="majorBidi" w:cstheme="majorBidi"/>
          <w:sz w:val="24"/>
          <w:szCs w:val="24"/>
        </w:rPr>
        <w:t xml:space="preserve">One of the </w:t>
      </w:r>
      <w:r w:rsidR="001D4959" w:rsidRPr="00462C0B">
        <w:rPr>
          <w:rFonts w:asciiTheme="majorBidi" w:hAnsiTheme="majorBidi" w:cstheme="majorBidi"/>
          <w:sz w:val="24"/>
          <w:szCs w:val="24"/>
        </w:rPr>
        <w:t>main methods used w</w:t>
      </w:r>
      <w:r w:rsidR="00062795" w:rsidRPr="00462C0B">
        <w:rPr>
          <w:rFonts w:asciiTheme="majorBidi" w:hAnsiTheme="majorBidi" w:cstheme="majorBidi"/>
          <w:sz w:val="24"/>
          <w:szCs w:val="24"/>
        </w:rPr>
        <w:t>as</w:t>
      </w:r>
      <w:r w:rsidR="001D4959" w:rsidRPr="00462C0B">
        <w:rPr>
          <w:rFonts w:asciiTheme="majorBidi" w:hAnsiTheme="majorBidi" w:cstheme="majorBidi"/>
          <w:sz w:val="24"/>
          <w:szCs w:val="24"/>
        </w:rPr>
        <w:t xml:space="preserve"> the development of databases of existing offset or compensatory mitigation schemes, at either the country level (e.g. biodiversity offset policy in England as undertaken by zu Ermgassen </w:t>
      </w:r>
      <w:r w:rsidR="001D4959" w:rsidRPr="00462C0B">
        <w:rPr>
          <w:rFonts w:asciiTheme="majorBidi" w:hAnsiTheme="majorBidi" w:cstheme="majorBidi"/>
          <w:i/>
          <w:iCs/>
          <w:sz w:val="24"/>
          <w:szCs w:val="24"/>
        </w:rPr>
        <w:t>et al.</w:t>
      </w:r>
      <w:r w:rsidR="001D4959" w:rsidRPr="00462C0B">
        <w:rPr>
          <w:rFonts w:asciiTheme="majorBidi" w:hAnsiTheme="majorBidi" w:cstheme="majorBidi"/>
          <w:sz w:val="24"/>
          <w:szCs w:val="24"/>
        </w:rPr>
        <w:t xml:space="preserve"> 2021) or </w:t>
      </w:r>
      <w:r w:rsidR="00E23A46" w:rsidRPr="00462C0B">
        <w:rPr>
          <w:rFonts w:asciiTheme="majorBidi" w:hAnsiTheme="majorBidi" w:cstheme="majorBidi"/>
          <w:sz w:val="24"/>
          <w:szCs w:val="24"/>
        </w:rPr>
        <w:t xml:space="preserve">at </w:t>
      </w:r>
      <w:r w:rsidR="001D4959" w:rsidRPr="00462C0B">
        <w:rPr>
          <w:rFonts w:asciiTheme="majorBidi" w:hAnsiTheme="majorBidi" w:cstheme="majorBidi"/>
          <w:sz w:val="24"/>
          <w:szCs w:val="24"/>
        </w:rPr>
        <w:t>the state level (for wetland mitigation banking in the USA</w:t>
      </w:r>
      <w:r w:rsidR="00FD7192" w:rsidRPr="00462C0B">
        <w:rPr>
          <w:rFonts w:asciiTheme="majorBidi" w:hAnsiTheme="majorBidi" w:cstheme="majorBidi"/>
          <w:sz w:val="24"/>
          <w:szCs w:val="24"/>
        </w:rPr>
        <w:t xml:space="preserve"> as undertaken by </w:t>
      </w:r>
      <w:r w:rsidR="0091348B" w:rsidRPr="00462C0B">
        <w:rPr>
          <w:rFonts w:asciiTheme="majorBidi" w:hAnsiTheme="majorBidi" w:cstheme="majorBidi"/>
          <w:sz w:val="24"/>
          <w:szCs w:val="24"/>
        </w:rPr>
        <w:t>BenDor &amp; Doyle 2009</w:t>
      </w:r>
      <w:r w:rsidR="001D4959" w:rsidRPr="00462C0B">
        <w:rPr>
          <w:rFonts w:asciiTheme="majorBidi" w:hAnsiTheme="majorBidi" w:cstheme="majorBidi"/>
          <w:sz w:val="24"/>
          <w:szCs w:val="24"/>
        </w:rPr>
        <w:t xml:space="preserve">). </w:t>
      </w:r>
      <w:r w:rsidR="004C2176" w:rsidRPr="00462C0B">
        <w:rPr>
          <w:rFonts w:asciiTheme="majorBidi" w:hAnsiTheme="majorBidi" w:cstheme="majorBidi"/>
          <w:sz w:val="24"/>
          <w:szCs w:val="24"/>
        </w:rPr>
        <w:t>Despite the differen</w:t>
      </w:r>
      <w:r w:rsidR="00FB4681" w:rsidRPr="00462C0B">
        <w:rPr>
          <w:rFonts w:asciiTheme="majorBidi" w:hAnsiTheme="majorBidi" w:cstheme="majorBidi"/>
          <w:sz w:val="24"/>
          <w:szCs w:val="24"/>
        </w:rPr>
        <w:t xml:space="preserve">ces in terms of the country, policy design and era </w:t>
      </w:r>
      <w:r w:rsidR="00B100BF" w:rsidRPr="00462C0B">
        <w:rPr>
          <w:rFonts w:asciiTheme="majorBidi" w:hAnsiTheme="majorBidi" w:cstheme="majorBidi"/>
          <w:sz w:val="24"/>
          <w:szCs w:val="24"/>
        </w:rPr>
        <w:t xml:space="preserve">similar findings were evident in the works of BenDor &amp; Doyle (2009) and zu Ermgassen </w:t>
      </w:r>
      <w:r w:rsidR="00B100BF" w:rsidRPr="00462C0B">
        <w:rPr>
          <w:rFonts w:asciiTheme="majorBidi" w:hAnsiTheme="majorBidi" w:cstheme="majorBidi"/>
          <w:i/>
          <w:iCs/>
          <w:sz w:val="24"/>
          <w:szCs w:val="24"/>
        </w:rPr>
        <w:t>et al.</w:t>
      </w:r>
      <w:r w:rsidR="00B100BF" w:rsidRPr="00462C0B">
        <w:rPr>
          <w:rFonts w:asciiTheme="majorBidi" w:hAnsiTheme="majorBidi" w:cstheme="majorBidi"/>
          <w:sz w:val="24"/>
          <w:szCs w:val="24"/>
        </w:rPr>
        <w:t xml:space="preserve"> (2021)</w:t>
      </w:r>
      <w:r w:rsidR="004D4EAC" w:rsidRPr="00462C0B">
        <w:rPr>
          <w:rFonts w:asciiTheme="majorBidi" w:hAnsiTheme="majorBidi" w:cstheme="majorBidi"/>
          <w:sz w:val="24"/>
          <w:szCs w:val="24"/>
        </w:rPr>
        <w:t>: a</w:t>
      </w:r>
      <w:r w:rsidR="00B100BF" w:rsidRPr="00462C0B">
        <w:rPr>
          <w:rFonts w:asciiTheme="majorBidi" w:hAnsiTheme="majorBidi" w:cstheme="majorBidi"/>
          <w:sz w:val="24"/>
          <w:szCs w:val="24"/>
        </w:rPr>
        <w:t xml:space="preserve"> key barrier to </w:t>
      </w:r>
      <w:r w:rsidR="004D4EAC" w:rsidRPr="00462C0B">
        <w:rPr>
          <w:rFonts w:asciiTheme="majorBidi" w:hAnsiTheme="majorBidi" w:cstheme="majorBidi"/>
          <w:sz w:val="24"/>
          <w:szCs w:val="24"/>
        </w:rPr>
        <w:t xml:space="preserve">implementing offsets at the practical level is the lack of regulatory capacity </w:t>
      </w:r>
      <w:r w:rsidR="00110A55" w:rsidRPr="00462C0B">
        <w:rPr>
          <w:rFonts w:asciiTheme="majorBidi" w:hAnsiTheme="majorBidi" w:cstheme="majorBidi"/>
          <w:sz w:val="24"/>
          <w:szCs w:val="24"/>
        </w:rPr>
        <w:t>to implement the programme</w:t>
      </w:r>
      <w:r w:rsidR="00DC08A5" w:rsidRPr="00462C0B">
        <w:rPr>
          <w:rFonts w:asciiTheme="majorBidi" w:hAnsiTheme="majorBidi" w:cstheme="majorBidi"/>
          <w:sz w:val="24"/>
          <w:szCs w:val="24"/>
        </w:rPr>
        <w:t xml:space="preserve"> (i</w:t>
      </w:r>
      <w:r w:rsidR="00110A55" w:rsidRPr="00462C0B">
        <w:rPr>
          <w:rFonts w:asciiTheme="majorBidi" w:hAnsiTheme="majorBidi" w:cstheme="majorBidi"/>
          <w:sz w:val="24"/>
          <w:szCs w:val="24"/>
        </w:rPr>
        <w:t>n particular, the follow-up monitoring and enforcement of newly created offset sites</w:t>
      </w:r>
      <w:r w:rsidR="00DC08A5" w:rsidRPr="00462C0B">
        <w:rPr>
          <w:rFonts w:asciiTheme="majorBidi" w:hAnsiTheme="majorBidi" w:cstheme="majorBidi"/>
          <w:sz w:val="24"/>
          <w:szCs w:val="24"/>
        </w:rPr>
        <w:t>)</w:t>
      </w:r>
      <w:r w:rsidR="00110A55" w:rsidRPr="00462C0B">
        <w:rPr>
          <w:rFonts w:asciiTheme="majorBidi" w:hAnsiTheme="majorBidi" w:cstheme="majorBidi"/>
          <w:sz w:val="24"/>
          <w:szCs w:val="24"/>
        </w:rPr>
        <w:t xml:space="preserve">. </w:t>
      </w:r>
      <w:r w:rsidR="006C72F0" w:rsidRPr="00462C0B">
        <w:rPr>
          <w:rFonts w:asciiTheme="majorBidi" w:hAnsiTheme="majorBidi" w:cstheme="majorBidi"/>
          <w:sz w:val="24"/>
          <w:szCs w:val="24"/>
        </w:rPr>
        <w:t>There is a lack of connectivity between the relevant institutions, stakeholders and regulatory partners</w:t>
      </w:r>
      <w:r w:rsidR="00BE6C2B" w:rsidRPr="00462C0B">
        <w:rPr>
          <w:rFonts w:asciiTheme="majorBidi" w:hAnsiTheme="majorBidi" w:cstheme="majorBidi"/>
          <w:sz w:val="24"/>
          <w:szCs w:val="24"/>
        </w:rPr>
        <w:t>.</w:t>
      </w:r>
      <w:r w:rsidR="00335CE0" w:rsidRPr="00462C0B">
        <w:rPr>
          <w:rFonts w:asciiTheme="majorBidi" w:hAnsiTheme="majorBidi" w:cstheme="majorBidi"/>
          <w:sz w:val="24"/>
          <w:szCs w:val="24"/>
        </w:rPr>
        <w:t xml:space="preserve"> </w:t>
      </w:r>
    </w:p>
    <w:p w14:paraId="2C0BD99E" w14:textId="5253BC65" w:rsidR="00061953" w:rsidRPr="00462C0B" w:rsidRDefault="00062795" w:rsidP="007F67D4">
      <w:pPr>
        <w:spacing w:line="360" w:lineRule="auto"/>
        <w:rPr>
          <w:rFonts w:asciiTheme="majorBidi" w:hAnsiTheme="majorBidi" w:cstheme="majorBidi"/>
          <w:sz w:val="24"/>
          <w:szCs w:val="24"/>
        </w:rPr>
      </w:pPr>
      <w:r w:rsidRPr="00462C0B">
        <w:rPr>
          <w:rFonts w:asciiTheme="majorBidi" w:hAnsiTheme="majorBidi" w:cstheme="majorBidi"/>
          <w:sz w:val="24"/>
          <w:szCs w:val="24"/>
        </w:rPr>
        <w:t xml:space="preserve">A second method used to </w:t>
      </w:r>
      <w:r w:rsidR="004B47DC" w:rsidRPr="00462C0B">
        <w:rPr>
          <w:rFonts w:asciiTheme="majorBidi" w:hAnsiTheme="majorBidi" w:cstheme="majorBidi"/>
          <w:sz w:val="24"/>
          <w:szCs w:val="24"/>
        </w:rPr>
        <w:t xml:space="preserve">analyse </w:t>
      </w:r>
      <w:r w:rsidRPr="00462C0B">
        <w:rPr>
          <w:rFonts w:asciiTheme="majorBidi" w:hAnsiTheme="majorBidi" w:cstheme="majorBidi"/>
          <w:sz w:val="24"/>
          <w:szCs w:val="24"/>
        </w:rPr>
        <w:t xml:space="preserve">existing and future </w:t>
      </w:r>
      <w:r w:rsidR="004B47DC" w:rsidRPr="00462C0B">
        <w:rPr>
          <w:rFonts w:asciiTheme="majorBidi" w:hAnsiTheme="majorBidi" w:cstheme="majorBidi"/>
          <w:sz w:val="24"/>
          <w:szCs w:val="24"/>
        </w:rPr>
        <w:t>policy directions for offsetting w</w:t>
      </w:r>
      <w:r w:rsidR="009A29A8" w:rsidRPr="00462C0B">
        <w:rPr>
          <w:rFonts w:asciiTheme="majorBidi" w:hAnsiTheme="majorBidi" w:cstheme="majorBidi"/>
          <w:sz w:val="24"/>
          <w:szCs w:val="24"/>
        </w:rPr>
        <w:t>ere</w:t>
      </w:r>
      <w:r w:rsidR="004B47DC" w:rsidRPr="00462C0B">
        <w:rPr>
          <w:rFonts w:asciiTheme="majorBidi" w:hAnsiTheme="majorBidi" w:cstheme="majorBidi"/>
          <w:sz w:val="24"/>
          <w:szCs w:val="24"/>
        </w:rPr>
        <w:t xml:space="preserve"> semi-structured interviews</w:t>
      </w:r>
      <w:r w:rsidR="009A29A8" w:rsidRPr="00462C0B">
        <w:rPr>
          <w:rFonts w:asciiTheme="majorBidi" w:hAnsiTheme="majorBidi" w:cstheme="majorBidi"/>
          <w:sz w:val="24"/>
          <w:szCs w:val="24"/>
        </w:rPr>
        <w:t xml:space="preserve">, workshops </w:t>
      </w:r>
      <w:r w:rsidR="004B47DC" w:rsidRPr="00462C0B">
        <w:rPr>
          <w:rFonts w:asciiTheme="majorBidi" w:hAnsiTheme="majorBidi" w:cstheme="majorBidi"/>
          <w:sz w:val="24"/>
          <w:szCs w:val="24"/>
        </w:rPr>
        <w:t xml:space="preserve">and stakeholder surveys with relevant parties </w:t>
      </w:r>
      <w:r w:rsidR="009A29A8" w:rsidRPr="00462C0B">
        <w:rPr>
          <w:rFonts w:asciiTheme="majorBidi" w:hAnsiTheme="majorBidi" w:cstheme="majorBidi"/>
          <w:sz w:val="24"/>
          <w:szCs w:val="24"/>
        </w:rPr>
        <w:t>(for example</w:t>
      </w:r>
      <w:r w:rsidR="007C4387">
        <w:rPr>
          <w:rFonts w:asciiTheme="majorBidi" w:hAnsiTheme="majorBidi" w:cstheme="majorBidi"/>
          <w:sz w:val="24"/>
          <w:szCs w:val="24"/>
        </w:rPr>
        <w:t xml:space="preserve"> </w:t>
      </w:r>
      <w:proofErr w:type="spellStart"/>
      <w:r w:rsidR="009A29A8" w:rsidRPr="00462C0B">
        <w:rPr>
          <w:rFonts w:asciiTheme="majorBidi" w:hAnsiTheme="majorBidi" w:cstheme="majorBidi"/>
          <w:sz w:val="24"/>
          <w:szCs w:val="24"/>
        </w:rPr>
        <w:t>Blicharska</w:t>
      </w:r>
      <w:proofErr w:type="spellEnd"/>
      <w:r w:rsidR="009A29A8" w:rsidRPr="00462C0B">
        <w:rPr>
          <w:rFonts w:asciiTheme="majorBidi" w:hAnsiTheme="majorBidi" w:cstheme="majorBidi"/>
          <w:sz w:val="24"/>
          <w:szCs w:val="24"/>
        </w:rPr>
        <w:t xml:space="preserve"> </w:t>
      </w:r>
      <w:r w:rsidR="009A29A8" w:rsidRPr="00462C0B">
        <w:rPr>
          <w:rFonts w:asciiTheme="majorBidi" w:hAnsiTheme="majorBidi" w:cstheme="majorBidi"/>
          <w:i/>
          <w:iCs/>
          <w:sz w:val="24"/>
          <w:szCs w:val="24"/>
        </w:rPr>
        <w:t>et al</w:t>
      </w:r>
      <w:r w:rsidR="00C27FF6" w:rsidRPr="00462C0B">
        <w:rPr>
          <w:rFonts w:asciiTheme="majorBidi" w:hAnsiTheme="majorBidi" w:cstheme="majorBidi"/>
          <w:i/>
          <w:iCs/>
          <w:sz w:val="24"/>
          <w:szCs w:val="24"/>
        </w:rPr>
        <w:t>.</w:t>
      </w:r>
      <w:r w:rsidR="009A29A8" w:rsidRPr="00462C0B">
        <w:rPr>
          <w:rFonts w:asciiTheme="majorBidi" w:hAnsiTheme="majorBidi" w:cstheme="majorBidi"/>
          <w:sz w:val="24"/>
          <w:szCs w:val="24"/>
        </w:rPr>
        <w:t xml:space="preserve"> 2022; </w:t>
      </w:r>
      <w:proofErr w:type="spellStart"/>
      <w:r w:rsidR="009A29A8" w:rsidRPr="00462C0B">
        <w:rPr>
          <w:rFonts w:asciiTheme="majorBidi" w:hAnsiTheme="majorBidi" w:cstheme="majorBidi"/>
          <w:sz w:val="24"/>
          <w:szCs w:val="24"/>
        </w:rPr>
        <w:t>Taherzadeh</w:t>
      </w:r>
      <w:proofErr w:type="spellEnd"/>
      <w:r w:rsidR="00C27FF6" w:rsidRPr="00462C0B">
        <w:rPr>
          <w:rFonts w:asciiTheme="majorBidi" w:hAnsiTheme="majorBidi" w:cstheme="majorBidi"/>
          <w:sz w:val="24"/>
          <w:szCs w:val="24"/>
        </w:rPr>
        <w:t xml:space="preserve"> and </w:t>
      </w:r>
      <w:r w:rsidR="009A29A8" w:rsidRPr="00462C0B">
        <w:rPr>
          <w:rFonts w:asciiTheme="majorBidi" w:hAnsiTheme="majorBidi" w:cstheme="majorBidi"/>
          <w:sz w:val="24"/>
          <w:szCs w:val="24"/>
        </w:rPr>
        <w:t>Howley 2018</w:t>
      </w:r>
      <w:r w:rsidR="00C27FF6" w:rsidRPr="00462C0B">
        <w:rPr>
          <w:rFonts w:asciiTheme="majorBidi" w:hAnsiTheme="majorBidi" w:cstheme="majorBidi"/>
          <w:sz w:val="24"/>
          <w:szCs w:val="24"/>
        </w:rPr>
        <w:t>; Grimm 2020</w:t>
      </w:r>
      <w:r w:rsidR="009A29A8" w:rsidRPr="00462C0B">
        <w:rPr>
          <w:rFonts w:asciiTheme="majorBidi" w:hAnsiTheme="majorBidi" w:cstheme="majorBidi"/>
          <w:sz w:val="24"/>
          <w:szCs w:val="24"/>
        </w:rPr>
        <w:t>)</w:t>
      </w:r>
      <w:r w:rsidR="00C27FF6" w:rsidRPr="00462C0B">
        <w:rPr>
          <w:rFonts w:asciiTheme="majorBidi" w:hAnsiTheme="majorBidi" w:cstheme="majorBidi"/>
          <w:sz w:val="24"/>
          <w:szCs w:val="24"/>
        </w:rPr>
        <w:t xml:space="preserve">. </w:t>
      </w:r>
      <w:r w:rsidR="0082000F" w:rsidRPr="00462C0B">
        <w:rPr>
          <w:rFonts w:asciiTheme="majorBidi" w:hAnsiTheme="majorBidi" w:cstheme="majorBidi"/>
          <w:sz w:val="24"/>
          <w:szCs w:val="24"/>
        </w:rPr>
        <w:t xml:space="preserve">Focussing on </w:t>
      </w:r>
      <w:r w:rsidR="0082000F" w:rsidRPr="00462C0B">
        <w:rPr>
          <w:rFonts w:asciiTheme="majorBidi" w:hAnsiTheme="majorBidi" w:cstheme="majorBidi"/>
          <w:sz w:val="24"/>
          <w:szCs w:val="24"/>
        </w:rPr>
        <w:lastRenderedPageBreak/>
        <w:t>the USA initially, m</w:t>
      </w:r>
      <w:r w:rsidR="00CD6D9F" w:rsidRPr="00462C0B">
        <w:rPr>
          <w:rFonts w:asciiTheme="majorBidi" w:hAnsiTheme="majorBidi" w:cstheme="majorBidi"/>
          <w:sz w:val="24"/>
          <w:szCs w:val="24"/>
        </w:rPr>
        <w:t>ultiple surveys were undertaken with mitigation bankers between 200</w:t>
      </w:r>
      <w:r w:rsidR="006E527C" w:rsidRPr="00462C0B">
        <w:rPr>
          <w:rFonts w:asciiTheme="majorBidi" w:hAnsiTheme="majorBidi" w:cstheme="majorBidi"/>
          <w:sz w:val="24"/>
          <w:szCs w:val="24"/>
        </w:rPr>
        <w:t>5</w:t>
      </w:r>
      <w:r w:rsidR="00CD6D9F" w:rsidRPr="00462C0B">
        <w:rPr>
          <w:rFonts w:asciiTheme="majorBidi" w:hAnsiTheme="majorBidi" w:cstheme="majorBidi"/>
          <w:sz w:val="24"/>
          <w:szCs w:val="24"/>
        </w:rPr>
        <w:t xml:space="preserve"> and 2010 </w:t>
      </w:r>
      <w:r w:rsidR="00B20D9A" w:rsidRPr="00462C0B">
        <w:rPr>
          <w:rFonts w:asciiTheme="majorBidi" w:hAnsiTheme="majorBidi" w:cstheme="majorBidi"/>
          <w:sz w:val="24"/>
          <w:szCs w:val="24"/>
        </w:rPr>
        <w:t xml:space="preserve">that focussed on </w:t>
      </w:r>
      <w:r w:rsidR="00816455">
        <w:rPr>
          <w:rFonts w:asciiTheme="majorBidi" w:hAnsiTheme="majorBidi" w:cstheme="majorBidi"/>
          <w:sz w:val="24"/>
          <w:szCs w:val="24"/>
        </w:rPr>
        <w:t xml:space="preserve">the </w:t>
      </w:r>
      <w:r w:rsidR="00B20D9A" w:rsidRPr="00462C0B">
        <w:rPr>
          <w:rFonts w:asciiTheme="majorBidi" w:hAnsiTheme="majorBidi" w:cstheme="majorBidi"/>
          <w:sz w:val="24"/>
          <w:szCs w:val="24"/>
        </w:rPr>
        <w:t xml:space="preserve">ecological and financial risks associated </w:t>
      </w:r>
      <w:r w:rsidR="0082000F" w:rsidRPr="00462C0B">
        <w:rPr>
          <w:rFonts w:asciiTheme="majorBidi" w:hAnsiTheme="majorBidi" w:cstheme="majorBidi"/>
          <w:sz w:val="24"/>
          <w:szCs w:val="24"/>
        </w:rPr>
        <w:t>with</w:t>
      </w:r>
      <w:r w:rsidR="00DF7C5A" w:rsidRPr="00462C0B">
        <w:rPr>
          <w:rFonts w:asciiTheme="majorBidi" w:hAnsiTheme="majorBidi" w:cstheme="majorBidi"/>
          <w:sz w:val="24"/>
          <w:szCs w:val="24"/>
        </w:rPr>
        <w:t xml:space="preserve"> designing a new wetland mitigation bank</w:t>
      </w:r>
      <w:r w:rsidR="00BD71DF" w:rsidRPr="00462C0B">
        <w:rPr>
          <w:rFonts w:asciiTheme="majorBidi" w:hAnsiTheme="majorBidi" w:cstheme="majorBidi"/>
          <w:sz w:val="24"/>
          <w:szCs w:val="24"/>
        </w:rPr>
        <w:t>s</w:t>
      </w:r>
      <w:r w:rsidR="00DF7C5A" w:rsidRPr="00462C0B">
        <w:rPr>
          <w:rFonts w:asciiTheme="majorBidi" w:hAnsiTheme="majorBidi" w:cstheme="majorBidi"/>
          <w:sz w:val="24"/>
          <w:szCs w:val="24"/>
        </w:rPr>
        <w:t xml:space="preserve"> (</w:t>
      </w:r>
      <w:r w:rsidR="006E527C" w:rsidRPr="00462C0B">
        <w:rPr>
          <w:rFonts w:asciiTheme="majorBidi" w:hAnsiTheme="majorBidi" w:cstheme="majorBidi"/>
          <w:sz w:val="24"/>
          <w:szCs w:val="24"/>
        </w:rPr>
        <w:t>Robertson 2009; BenDor and Riggsbee 2011</w:t>
      </w:r>
      <w:r w:rsidR="00BD71DF" w:rsidRPr="00462C0B">
        <w:rPr>
          <w:rFonts w:asciiTheme="majorBidi" w:hAnsiTheme="majorBidi" w:cstheme="majorBidi"/>
          <w:sz w:val="24"/>
          <w:szCs w:val="24"/>
        </w:rPr>
        <w:t xml:space="preserve">) with a particular emphasis on the size and scale of the market and the </w:t>
      </w:r>
      <w:r w:rsidR="004E5570" w:rsidRPr="00462C0B">
        <w:rPr>
          <w:rFonts w:asciiTheme="majorBidi" w:hAnsiTheme="majorBidi" w:cstheme="majorBidi"/>
          <w:sz w:val="24"/>
          <w:szCs w:val="24"/>
        </w:rPr>
        <w:t xml:space="preserve">effects of </w:t>
      </w:r>
      <w:r w:rsidR="006A32BA" w:rsidRPr="00462C0B">
        <w:rPr>
          <w:rFonts w:asciiTheme="majorBidi" w:hAnsiTheme="majorBidi" w:cstheme="majorBidi"/>
          <w:sz w:val="24"/>
          <w:szCs w:val="24"/>
        </w:rPr>
        <w:t xml:space="preserve">the </w:t>
      </w:r>
      <w:r w:rsidR="00BD71DF" w:rsidRPr="00462C0B">
        <w:rPr>
          <w:rFonts w:asciiTheme="majorBidi" w:hAnsiTheme="majorBidi" w:cstheme="majorBidi"/>
          <w:sz w:val="24"/>
          <w:szCs w:val="24"/>
        </w:rPr>
        <w:t xml:space="preserve">implementation of the 2008 </w:t>
      </w:r>
      <w:r w:rsidR="006A32BA" w:rsidRPr="00462C0B">
        <w:rPr>
          <w:rFonts w:asciiTheme="majorBidi" w:hAnsiTheme="majorBidi" w:cstheme="majorBidi"/>
          <w:sz w:val="24"/>
          <w:szCs w:val="24"/>
        </w:rPr>
        <w:t xml:space="preserve">ruling to establish what was essentially a mandatory market for wetland mitigation banked credits ahead of developer responsible mitigation. </w:t>
      </w:r>
      <w:r w:rsidR="00C7671A" w:rsidRPr="00462C0B">
        <w:rPr>
          <w:rFonts w:asciiTheme="majorBidi" w:hAnsiTheme="majorBidi" w:cstheme="majorBidi"/>
          <w:sz w:val="24"/>
          <w:szCs w:val="24"/>
        </w:rPr>
        <w:t xml:space="preserve">We discuss this in detail within </w:t>
      </w:r>
      <w:r w:rsidR="001E5EC7" w:rsidRPr="00462C0B">
        <w:rPr>
          <w:rFonts w:asciiTheme="majorBidi" w:hAnsiTheme="majorBidi" w:cstheme="majorBidi"/>
          <w:sz w:val="24"/>
          <w:szCs w:val="24"/>
        </w:rPr>
        <w:t>S</w:t>
      </w:r>
      <w:r w:rsidR="00C7671A" w:rsidRPr="00462C0B">
        <w:rPr>
          <w:rFonts w:asciiTheme="majorBidi" w:hAnsiTheme="majorBidi" w:cstheme="majorBidi"/>
          <w:sz w:val="24"/>
          <w:szCs w:val="24"/>
        </w:rPr>
        <w:t xml:space="preserve">ection </w:t>
      </w:r>
      <w:r w:rsidR="001E5EC7" w:rsidRPr="00462C0B">
        <w:rPr>
          <w:rFonts w:asciiTheme="majorBidi" w:hAnsiTheme="majorBidi" w:cstheme="majorBidi"/>
          <w:sz w:val="24"/>
          <w:szCs w:val="24"/>
        </w:rPr>
        <w:t>3.3</w:t>
      </w:r>
      <w:r w:rsidR="00C7671A" w:rsidRPr="00462C0B">
        <w:rPr>
          <w:rFonts w:asciiTheme="majorBidi" w:hAnsiTheme="majorBidi" w:cstheme="majorBidi"/>
          <w:sz w:val="24"/>
          <w:szCs w:val="24"/>
        </w:rPr>
        <w:t xml:space="preserve">. </w:t>
      </w:r>
      <w:r w:rsidR="00040424" w:rsidRPr="00462C0B">
        <w:rPr>
          <w:rFonts w:asciiTheme="majorBidi" w:hAnsiTheme="majorBidi" w:cstheme="majorBidi"/>
          <w:sz w:val="24"/>
          <w:szCs w:val="24"/>
        </w:rPr>
        <w:t xml:space="preserve">Our literature search identified a second wave of surveys that were undertaken </w:t>
      </w:r>
      <w:r w:rsidR="003321D3" w:rsidRPr="00462C0B">
        <w:rPr>
          <w:rFonts w:asciiTheme="majorBidi" w:hAnsiTheme="majorBidi" w:cstheme="majorBidi"/>
          <w:sz w:val="24"/>
          <w:szCs w:val="24"/>
        </w:rPr>
        <w:t xml:space="preserve">between 2015 and 2021with </w:t>
      </w:r>
      <w:r w:rsidR="00040424" w:rsidRPr="00462C0B">
        <w:rPr>
          <w:rFonts w:asciiTheme="majorBidi" w:hAnsiTheme="majorBidi" w:cstheme="majorBidi"/>
          <w:sz w:val="24"/>
          <w:szCs w:val="24"/>
        </w:rPr>
        <w:t xml:space="preserve">by </w:t>
      </w:r>
      <w:r w:rsidR="003321D3" w:rsidRPr="00462C0B">
        <w:rPr>
          <w:rFonts w:asciiTheme="majorBidi" w:hAnsiTheme="majorBidi" w:cstheme="majorBidi"/>
          <w:sz w:val="24"/>
          <w:szCs w:val="24"/>
        </w:rPr>
        <w:t xml:space="preserve">multiple stakeholders </w:t>
      </w:r>
      <w:r w:rsidR="00040424" w:rsidRPr="00462C0B">
        <w:rPr>
          <w:rFonts w:asciiTheme="majorBidi" w:hAnsiTheme="majorBidi" w:cstheme="majorBidi"/>
          <w:sz w:val="24"/>
          <w:szCs w:val="24"/>
        </w:rPr>
        <w:t>involved in species conservation banking</w:t>
      </w:r>
      <w:r w:rsidR="00B25992" w:rsidRPr="00462C0B">
        <w:rPr>
          <w:rFonts w:asciiTheme="majorBidi" w:hAnsiTheme="majorBidi" w:cstheme="majorBidi"/>
          <w:sz w:val="24"/>
          <w:szCs w:val="24"/>
        </w:rPr>
        <w:t xml:space="preserve"> (White </w:t>
      </w:r>
      <w:r w:rsidR="00B25992" w:rsidRPr="00462C0B">
        <w:rPr>
          <w:rFonts w:asciiTheme="majorBidi" w:hAnsiTheme="majorBidi" w:cstheme="majorBidi"/>
          <w:i/>
          <w:iCs/>
          <w:sz w:val="24"/>
          <w:szCs w:val="24"/>
        </w:rPr>
        <w:t>et al.</w:t>
      </w:r>
      <w:r w:rsidR="00B25992" w:rsidRPr="00462C0B">
        <w:rPr>
          <w:rFonts w:asciiTheme="majorBidi" w:hAnsiTheme="majorBidi" w:cstheme="majorBidi"/>
          <w:sz w:val="24"/>
          <w:szCs w:val="24"/>
        </w:rPr>
        <w:t xml:space="preserve"> 2021; Grimm 2020; Leveral </w:t>
      </w:r>
      <w:r w:rsidR="00B25992" w:rsidRPr="00462C0B">
        <w:rPr>
          <w:rFonts w:asciiTheme="majorBidi" w:hAnsiTheme="majorBidi" w:cstheme="majorBidi"/>
          <w:i/>
          <w:iCs/>
          <w:sz w:val="24"/>
          <w:szCs w:val="24"/>
        </w:rPr>
        <w:t>et al</w:t>
      </w:r>
      <w:r w:rsidR="00957CA1" w:rsidRPr="00462C0B">
        <w:rPr>
          <w:rFonts w:asciiTheme="majorBidi" w:hAnsiTheme="majorBidi" w:cstheme="majorBidi"/>
          <w:i/>
          <w:iCs/>
          <w:sz w:val="24"/>
          <w:szCs w:val="24"/>
        </w:rPr>
        <w:t>.</w:t>
      </w:r>
      <w:r w:rsidR="00B25992" w:rsidRPr="00462C0B">
        <w:rPr>
          <w:rFonts w:asciiTheme="majorBidi" w:hAnsiTheme="majorBidi" w:cstheme="majorBidi"/>
          <w:sz w:val="24"/>
          <w:szCs w:val="24"/>
        </w:rPr>
        <w:t xml:space="preserve"> 20</w:t>
      </w:r>
      <w:r w:rsidR="00CF034A" w:rsidRPr="00462C0B">
        <w:rPr>
          <w:rFonts w:asciiTheme="majorBidi" w:hAnsiTheme="majorBidi" w:cstheme="majorBidi"/>
          <w:sz w:val="24"/>
          <w:szCs w:val="24"/>
        </w:rPr>
        <w:t xml:space="preserve">17; </w:t>
      </w:r>
      <w:proofErr w:type="spellStart"/>
      <w:r w:rsidR="00CF034A" w:rsidRPr="00462C0B">
        <w:rPr>
          <w:rFonts w:asciiTheme="majorBidi" w:hAnsiTheme="majorBidi" w:cstheme="majorBidi"/>
          <w:sz w:val="24"/>
          <w:szCs w:val="24"/>
        </w:rPr>
        <w:t>Vaissière</w:t>
      </w:r>
      <w:proofErr w:type="spellEnd"/>
      <w:r w:rsidR="00CF034A" w:rsidRPr="00462C0B">
        <w:rPr>
          <w:rFonts w:asciiTheme="majorBidi" w:hAnsiTheme="majorBidi" w:cstheme="majorBidi"/>
          <w:sz w:val="24"/>
          <w:szCs w:val="24"/>
        </w:rPr>
        <w:t xml:space="preserve"> </w:t>
      </w:r>
      <w:r w:rsidR="00CF034A" w:rsidRPr="00462C0B">
        <w:rPr>
          <w:rFonts w:asciiTheme="majorBidi" w:hAnsiTheme="majorBidi" w:cstheme="majorBidi"/>
          <w:i/>
          <w:iCs/>
          <w:sz w:val="24"/>
          <w:szCs w:val="24"/>
        </w:rPr>
        <w:t>et al</w:t>
      </w:r>
      <w:r w:rsidR="00957CA1" w:rsidRPr="00462C0B">
        <w:rPr>
          <w:rFonts w:asciiTheme="majorBidi" w:hAnsiTheme="majorBidi" w:cstheme="majorBidi"/>
          <w:i/>
          <w:iCs/>
          <w:sz w:val="24"/>
          <w:szCs w:val="24"/>
        </w:rPr>
        <w:t>.</w:t>
      </w:r>
      <w:r w:rsidR="00CF034A" w:rsidRPr="00462C0B">
        <w:rPr>
          <w:rFonts w:asciiTheme="majorBidi" w:hAnsiTheme="majorBidi" w:cstheme="majorBidi"/>
          <w:sz w:val="24"/>
          <w:szCs w:val="24"/>
        </w:rPr>
        <w:t xml:space="preserve"> 2017). </w:t>
      </w:r>
      <w:r w:rsidR="00B446E7" w:rsidRPr="00462C0B">
        <w:rPr>
          <w:rFonts w:asciiTheme="majorBidi" w:hAnsiTheme="majorBidi" w:cstheme="majorBidi"/>
          <w:sz w:val="24"/>
          <w:szCs w:val="24"/>
        </w:rPr>
        <w:t xml:space="preserve">Stakeholders view successful species conservation policies as those that </w:t>
      </w:r>
      <w:r w:rsidR="008E32B6" w:rsidRPr="00462C0B">
        <w:rPr>
          <w:rFonts w:asciiTheme="majorBidi" w:hAnsiTheme="majorBidi" w:cstheme="majorBidi"/>
          <w:sz w:val="24"/>
          <w:szCs w:val="24"/>
        </w:rPr>
        <w:t xml:space="preserve">were based on landscape-scale mitigation goals </w:t>
      </w:r>
      <w:r w:rsidR="00B822D3" w:rsidRPr="00462C0B">
        <w:rPr>
          <w:rFonts w:asciiTheme="majorBidi" w:hAnsiTheme="majorBidi" w:cstheme="majorBidi"/>
          <w:sz w:val="24"/>
          <w:szCs w:val="24"/>
        </w:rPr>
        <w:t xml:space="preserve">and </w:t>
      </w:r>
      <w:r w:rsidR="008E32B6" w:rsidRPr="00462C0B">
        <w:rPr>
          <w:rFonts w:asciiTheme="majorBidi" w:hAnsiTheme="majorBidi" w:cstheme="majorBidi"/>
          <w:sz w:val="24"/>
          <w:szCs w:val="24"/>
        </w:rPr>
        <w:t xml:space="preserve">used </w:t>
      </w:r>
      <w:r w:rsidR="00B822D3" w:rsidRPr="00462C0B">
        <w:rPr>
          <w:rFonts w:asciiTheme="majorBidi" w:hAnsiTheme="majorBidi" w:cstheme="majorBidi"/>
          <w:sz w:val="24"/>
          <w:szCs w:val="24"/>
        </w:rPr>
        <w:t xml:space="preserve">conservation easements to </w:t>
      </w:r>
      <w:r w:rsidR="008E32B6" w:rsidRPr="00462C0B">
        <w:rPr>
          <w:rFonts w:asciiTheme="majorBidi" w:hAnsiTheme="majorBidi" w:cstheme="majorBidi"/>
          <w:sz w:val="24"/>
          <w:szCs w:val="24"/>
        </w:rPr>
        <w:t>protect</w:t>
      </w:r>
      <w:r w:rsidR="00B822D3" w:rsidRPr="00462C0B">
        <w:rPr>
          <w:rFonts w:asciiTheme="majorBidi" w:hAnsiTheme="majorBidi" w:cstheme="majorBidi"/>
          <w:sz w:val="24"/>
          <w:szCs w:val="24"/>
        </w:rPr>
        <w:t xml:space="preserve"> the land in perpetuity. </w:t>
      </w:r>
      <w:r w:rsidR="0001258E" w:rsidRPr="00462C0B">
        <w:rPr>
          <w:rFonts w:asciiTheme="majorBidi" w:hAnsiTheme="majorBidi" w:cstheme="majorBidi"/>
          <w:sz w:val="24"/>
          <w:szCs w:val="24"/>
        </w:rPr>
        <w:t xml:space="preserve">As evident in the database analysis approach, concerns focussed on the </w:t>
      </w:r>
      <w:r w:rsidR="00890679" w:rsidRPr="00462C0B">
        <w:rPr>
          <w:rFonts w:asciiTheme="majorBidi" w:hAnsiTheme="majorBidi" w:cstheme="majorBidi"/>
          <w:sz w:val="24"/>
          <w:szCs w:val="24"/>
        </w:rPr>
        <w:t xml:space="preserve">lack of consistent </w:t>
      </w:r>
      <w:r w:rsidR="00473FD2" w:rsidRPr="00462C0B">
        <w:rPr>
          <w:rFonts w:asciiTheme="majorBidi" w:hAnsiTheme="majorBidi" w:cstheme="majorBidi"/>
          <w:sz w:val="24"/>
          <w:szCs w:val="24"/>
        </w:rPr>
        <w:t>evaluation across bank sites, with a lack of regulatory follow</w:t>
      </w:r>
      <w:r w:rsidR="0001258E" w:rsidRPr="00462C0B">
        <w:rPr>
          <w:rFonts w:asciiTheme="majorBidi" w:hAnsiTheme="majorBidi" w:cstheme="majorBidi"/>
          <w:sz w:val="24"/>
          <w:szCs w:val="24"/>
        </w:rPr>
        <w:t>-</w:t>
      </w:r>
      <w:r w:rsidR="00473FD2" w:rsidRPr="00462C0B">
        <w:rPr>
          <w:rFonts w:asciiTheme="majorBidi" w:hAnsiTheme="majorBidi" w:cstheme="majorBidi"/>
          <w:sz w:val="24"/>
          <w:szCs w:val="24"/>
        </w:rPr>
        <w:t>up monitoring and enforcement following the bank</w:t>
      </w:r>
      <w:r w:rsidR="0001258E" w:rsidRPr="00462C0B">
        <w:rPr>
          <w:rFonts w:asciiTheme="majorBidi" w:hAnsiTheme="majorBidi" w:cstheme="majorBidi"/>
          <w:sz w:val="24"/>
          <w:szCs w:val="24"/>
        </w:rPr>
        <w:t>’</w:t>
      </w:r>
      <w:r w:rsidR="00473FD2" w:rsidRPr="00462C0B">
        <w:rPr>
          <w:rFonts w:asciiTheme="majorBidi" w:hAnsiTheme="majorBidi" w:cstheme="majorBidi"/>
          <w:sz w:val="24"/>
          <w:szCs w:val="24"/>
        </w:rPr>
        <w:t xml:space="preserve">s approval. </w:t>
      </w:r>
      <w:r w:rsidR="00890FD4" w:rsidRPr="00462C0B">
        <w:rPr>
          <w:rFonts w:asciiTheme="majorBidi" w:hAnsiTheme="majorBidi" w:cstheme="majorBidi"/>
          <w:sz w:val="24"/>
          <w:szCs w:val="24"/>
        </w:rPr>
        <w:t xml:space="preserve">This </w:t>
      </w:r>
      <w:r w:rsidR="0001258E" w:rsidRPr="00462C0B">
        <w:rPr>
          <w:rFonts w:asciiTheme="majorBidi" w:hAnsiTheme="majorBidi" w:cstheme="majorBidi"/>
          <w:sz w:val="24"/>
          <w:szCs w:val="24"/>
        </w:rPr>
        <w:t xml:space="preserve">was </w:t>
      </w:r>
      <w:r w:rsidR="00890FD4" w:rsidRPr="00462C0B">
        <w:rPr>
          <w:rFonts w:asciiTheme="majorBidi" w:hAnsiTheme="majorBidi" w:cstheme="majorBidi"/>
          <w:sz w:val="24"/>
          <w:szCs w:val="24"/>
        </w:rPr>
        <w:t xml:space="preserve">especially evident in cases where </w:t>
      </w:r>
      <w:proofErr w:type="gramStart"/>
      <w:r w:rsidR="00890FD4" w:rsidRPr="00462C0B">
        <w:rPr>
          <w:rFonts w:asciiTheme="majorBidi" w:hAnsiTheme="majorBidi" w:cstheme="majorBidi"/>
          <w:sz w:val="24"/>
          <w:szCs w:val="24"/>
        </w:rPr>
        <w:t>a large number of</w:t>
      </w:r>
      <w:proofErr w:type="gramEnd"/>
      <w:r w:rsidR="00890FD4" w:rsidRPr="00462C0B">
        <w:rPr>
          <w:rFonts w:asciiTheme="majorBidi" w:hAnsiTheme="majorBidi" w:cstheme="majorBidi"/>
          <w:sz w:val="24"/>
          <w:szCs w:val="24"/>
        </w:rPr>
        <w:t xml:space="preserve"> credits </w:t>
      </w:r>
      <w:r w:rsidR="0001258E" w:rsidRPr="00462C0B">
        <w:rPr>
          <w:rFonts w:asciiTheme="majorBidi" w:hAnsiTheme="majorBidi" w:cstheme="majorBidi"/>
          <w:sz w:val="24"/>
          <w:szCs w:val="24"/>
        </w:rPr>
        <w:t xml:space="preserve">were </w:t>
      </w:r>
      <w:r w:rsidR="00890FD4" w:rsidRPr="00462C0B">
        <w:rPr>
          <w:rFonts w:asciiTheme="majorBidi" w:hAnsiTheme="majorBidi" w:cstheme="majorBidi"/>
          <w:sz w:val="24"/>
          <w:szCs w:val="24"/>
        </w:rPr>
        <w:t xml:space="preserve">released </w:t>
      </w:r>
      <w:r w:rsidR="001E5EC7" w:rsidRPr="00462C0B">
        <w:rPr>
          <w:rFonts w:asciiTheme="majorBidi" w:hAnsiTheme="majorBidi" w:cstheme="majorBidi"/>
          <w:sz w:val="24"/>
          <w:szCs w:val="24"/>
        </w:rPr>
        <w:t xml:space="preserve">for sale </w:t>
      </w:r>
      <w:r w:rsidR="00890FD4" w:rsidRPr="00462C0B">
        <w:rPr>
          <w:rFonts w:asciiTheme="majorBidi" w:hAnsiTheme="majorBidi" w:cstheme="majorBidi"/>
          <w:sz w:val="24"/>
          <w:szCs w:val="24"/>
        </w:rPr>
        <w:t>upfront</w:t>
      </w:r>
      <w:r w:rsidR="00ED198E" w:rsidRPr="00462C0B">
        <w:rPr>
          <w:rFonts w:asciiTheme="majorBidi" w:hAnsiTheme="majorBidi" w:cstheme="majorBidi"/>
          <w:sz w:val="24"/>
          <w:szCs w:val="24"/>
        </w:rPr>
        <w:t xml:space="preserve"> </w:t>
      </w:r>
      <w:r w:rsidR="009D1DB0" w:rsidRPr="00462C0B">
        <w:rPr>
          <w:rFonts w:asciiTheme="majorBidi" w:hAnsiTheme="majorBidi" w:cstheme="majorBidi"/>
          <w:sz w:val="24"/>
          <w:szCs w:val="24"/>
        </w:rPr>
        <w:t xml:space="preserve">before restoration actions </w:t>
      </w:r>
      <w:r w:rsidR="0001258E" w:rsidRPr="00462C0B">
        <w:rPr>
          <w:rFonts w:asciiTheme="majorBidi" w:hAnsiTheme="majorBidi" w:cstheme="majorBidi"/>
          <w:sz w:val="24"/>
          <w:szCs w:val="24"/>
        </w:rPr>
        <w:t>were</w:t>
      </w:r>
      <w:r w:rsidR="009D1DB0" w:rsidRPr="00462C0B">
        <w:rPr>
          <w:rFonts w:asciiTheme="majorBidi" w:hAnsiTheme="majorBidi" w:cstheme="majorBidi"/>
          <w:sz w:val="24"/>
          <w:szCs w:val="24"/>
        </w:rPr>
        <w:t xml:space="preserve"> undertaken. </w:t>
      </w:r>
    </w:p>
    <w:p w14:paraId="4E118D9C" w14:textId="5FF43DA3" w:rsidR="00664CC1" w:rsidRPr="00462C0B" w:rsidRDefault="00017D32" w:rsidP="00703682">
      <w:pPr>
        <w:spacing w:line="360" w:lineRule="auto"/>
        <w:rPr>
          <w:rFonts w:ascii="Times New Roman" w:hAnsi="Times New Roman" w:cs="Times New Roman"/>
          <w:color w:val="000000" w:themeColor="text1"/>
          <w:sz w:val="24"/>
          <w:szCs w:val="24"/>
        </w:rPr>
      </w:pPr>
      <w:r w:rsidRPr="00462C0B">
        <w:rPr>
          <w:rFonts w:asciiTheme="majorBidi" w:hAnsiTheme="majorBidi" w:cstheme="majorBidi"/>
          <w:sz w:val="24"/>
          <w:szCs w:val="24"/>
        </w:rPr>
        <w:t xml:space="preserve">For England, we identified a series of </w:t>
      </w:r>
      <w:r w:rsidR="00F525F6" w:rsidRPr="00462C0B">
        <w:rPr>
          <w:rFonts w:asciiTheme="majorBidi" w:hAnsiTheme="majorBidi" w:cstheme="majorBidi"/>
          <w:sz w:val="24"/>
          <w:szCs w:val="24"/>
        </w:rPr>
        <w:t xml:space="preserve">practitioner </w:t>
      </w:r>
      <w:r w:rsidRPr="00462C0B">
        <w:rPr>
          <w:rFonts w:asciiTheme="majorBidi" w:hAnsiTheme="majorBidi" w:cstheme="majorBidi"/>
          <w:sz w:val="24"/>
          <w:szCs w:val="24"/>
        </w:rPr>
        <w:t>surveys related to the initial design of biodiversity offsetting pilot studies</w:t>
      </w:r>
      <w:r w:rsidR="002B2F3B" w:rsidRPr="00462C0B">
        <w:rPr>
          <w:rFonts w:asciiTheme="majorBidi" w:hAnsiTheme="majorBidi" w:cstheme="majorBidi"/>
          <w:sz w:val="24"/>
          <w:szCs w:val="24"/>
        </w:rPr>
        <w:t xml:space="preserve"> (</w:t>
      </w:r>
      <w:r w:rsidRPr="00462C0B">
        <w:rPr>
          <w:rFonts w:ascii="Times New Roman" w:hAnsi="Times New Roman" w:cs="Times New Roman"/>
          <w:sz w:val="24"/>
          <w:szCs w:val="24"/>
        </w:rPr>
        <w:t>Lockhart 2015; Sullivan and Hannis 2015</w:t>
      </w:r>
      <w:r w:rsidR="00334FB8" w:rsidRPr="00462C0B">
        <w:rPr>
          <w:rFonts w:ascii="Times New Roman" w:hAnsi="Times New Roman" w:cs="Times New Roman"/>
          <w:sz w:val="24"/>
          <w:szCs w:val="24"/>
        </w:rPr>
        <w:t>; Carver and Sullivan 2017</w:t>
      </w:r>
      <w:r w:rsidRPr="00462C0B">
        <w:rPr>
          <w:rFonts w:ascii="Times New Roman" w:hAnsi="Times New Roman" w:cs="Times New Roman"/>
          <w:sz w:val="24"/>
          <w:szCs w:val="24"/>
        </w:rPr>
        <w:t xml:space="preserve">) </w:t>
      </w:r>
      <w:r w:rsidR="00334FB8" w:rsidRPr="00462C0B">
        <w:rPr>
          <w:rFonts w:ascii="Times New Roman" w:hAnsi="Times New Roman" w:cs="Times New Roman"/>
          <w:sz w:val="24"/>
          <w:szCs w:val="24"/>
        </w:rPr>
        <w:t>and one considering the future of offs</w:t>
      </w:r>
      <w:r w:rsidR="00276A78" w:rsidRPr="00462C0B">
        <w:rPr>
          <w:rFonts w:ascii="Times New Roman" w:hAnsi="Times New Roman" w:cs="Times New Roman"/>
          <w:sz w:val="24"/>
          <w:szCs w:val="24"/>
        </w:rPr>
        <w:t>et</w:t>
      </w:r>
      <w:r w:rsidR="00F525F6" w:rsidRPr="00462C0B">
        <w:rPr>
          <w:rFonts w:ascii="Times New Roman" w:hAnsi="Times New Roman" w:cs="Times New Roman"/>
          <w:sz w:val="24"/>
          <w:szCs w:val="24"/>
        </w:rPr>
        <w:t>s in England (</w:t>
      </w:r>
      <w:proofErr w:type="spellStart"/>
      <w:r w:rsidR="00F525F6" w:rsidRPr="00462C0B">
        <w:rPr>
          <w:rFonts w:ascii="Times New Roman" w:hAnsi="Times New Roman" w:cs="Times New Roman"/>
          <w:color w:val="000000" w:themeColor="text1"/>
          <w:sz w:val="24"/>
          <w:szCs w:val="24"/>
        </w:rPr>
        <w:t>Taherzadeh</w:t>
      </w:r>
      <w:proofErr w:type="spellEnd"/>
      <w:r w:rsidR="00F525F6" w:rsidRPr="00462C0B">
        <w:rPr>
          <w:rFonts w:ascii="Times New Roman" w:hAnsi="Times New Roman" w:cs="Times New Roman"/>
          <w:color w:val="000000" w:themeColor="text1"/>
          <w:sz w:val="24"/>
          <w:szCs w:val="24"/>
        </w:rPr>
        <w:t xml:space="preserve"> and Howley 2018). </w:t>
      </w:r>
      <w:r w:rsidR="00AE6A6B" w:rsidRPr="00462C0B">
        <w:rPr>
          <w:rFonts w:ascii="Times New Roman" w:hAnsi="Times New Roman" w:cs="Times New Roman"/>
          <w:color w:val="000000" w:themeColor="text1"/>
          <w:sz w:val="24"/>
          <w:szCs w:val="24"/>
        </w:rPr>
        <w:t>These surveys showed that the initial offset metric was difficult to use and open to interpretation</w:t>
      </w:r>
      <w:r w:rsidR="00C852DF" w:rsidRPr="00462C0B">
        <w:rPr>
          <w:rFonts w:ascii="Times New Roman" w:hAnsi="Times New Roman" w:cs="Times New Roman"/>
          <w:color w:val="000000" w:themeColor="text1"/>
          <w:sz w:val="24"/>
          <w:szCs w:val="24"/>
        </w:rPr>
        <w:t xml:space="preserve"> and lacked consideration of connectivity and habitat function (Lockhart 2015). </w:t>
      </w:r>
      <w:r w:rsidR="00AE6A6B" w:rsidRPr="00462C0B">
        <w:rPr>
          <w:rFonts w:ascii="Times New Roman" w:hAnsi="Times New Roman" w:cs="Times New Roman"/>
          <w:color w:val="000000" w:themeColor="text1"/>
          <w:sz w:val="24"/>
          <w:szCs w:val="24"/>
        </w:rPr>
        <w:t xml:space="preserve"> </w:t>
      </w:r>
      <w:r w:rsidR="004360E4" w:rsidRPr="00462C0B">
        <w:rPr>
          <w:rFonts w:ascii="Times New Roman" w:hAnsi="Times New Roman" w:cs="Times New Roman"/>
          <w:color w:val="000000" w:themeColor="text1"/>
          <w:sz w:val="24"/>
          <w:szCs w:val="24"/>
        </w:rPr>
        <w:t xml:space="preserve">All but one of the pilot leaders felt that </w:t>
      </w:r>
      <w:r w:rsidR="00703682">
        <w:rPr>
          <w:rFonts w:ascii="Times New Roman" w:hAnsi="Times New Roman" w:cs="Times New Roman"/>
          <w:color w:val="000000" w:themeColor="text1"/>
          <w:sz w:val="24"/>
          <w:szCs w:val="24"/>
        </w:rPr>
        <w:t xml:space="preserve">offering the developers a choice of how to compensate their actions, either the purchase of offset credits within a market or undertaken their own compensatory mitigation </w:t>
      </w:r>
      <w:r w:rsidR="004360E4" w:rsidRPr="00462C0B">
        <w:rPr>
          <w:rFonts w:ascii="Times New Roman" w:hAnsi="Times New Roman" w:cs="Times New Roman"/>
          <w:color w:val="000000" w:themeColor="text1"/>
          <w:sz w:val="24"/>
          <w:szCs w:val="24"/>
        </w:rPr>
        <w:t xml:space="preserve">undermined biodiversity offsetting, especially for lower value habitats (Baker </w:t>
      </w:r>
      <w:r w:rsidR="004360E4" w:rsidRPr="00462C0B">
        <w:rPr>
          <w:rFonts w:ascii="Times New Roman" w:hAnsi="Times New Roman" w:cs="Times New Roman"/>
          <w:i/>
          <w:iCs/>
          <w:color w:val="000000" w:themeColor="text1"/>
          <w:sz w:val="24"/>
          <w:szCs w:val="24"/>
        </w:rPr>
        <w:t>et al</w:t>
      </w:r>
      <w:r w:rsidR="00FB6619" w:rsidRPr="00462C0B">
        <w:rPr>
          <w:rFonts w:ascii="Times New Roman" w:hAnsi="Times New Roman" w:cs="Times New Roman"/>
          <w:i/>
          <w:iCs/>
          <w:color w:val="000000" w:themeColor="text1"/>
          <w:sz w:val="24"/>
          <w:szCs w:val="24"/>
        </w:rPr>
        <w:t>.</w:t>
      </w:r>
      <w:r w:rsidR="004360E4" w:rsidRPr="00462C0B">
        <w:rPr>
          <w:rFonts w:ascii="Times New Roman" w:hAnsi="Times New Roman" w:cs="Times New Roman"/>
          <w:color w:val="000000" w:themeColor="text1"/>
          <w:sz w:val="24"/>
          <w:szCs w:val="24"/>
        </w:rPr>
        <w:t xml:space="preserve"> 2016). </w:t>
      </w:r>
      <w:r w:rsidR="00703682" w:rsidRPr="00462C0B">
        <w:rPr>
          <w:rFonts w:ascii="Times New Roman" w:hAnsi="Times New Roman" w:cs="Times New Roman"/>
          <w:sz w:val="24"/>
          <w:szCs w:val="24"/>
        </w:rPr>
        <w:t xml:space="preserve">Within the pilot areas, developers who were </w:t>
      </w:r>
      <w:r w:rsidR="00703682">
        <w:rPr>
          <w:rFonts w:ascii="Times New Roman" w:hAnsi="Times New Roman" w:cs="Times New Roman"/>
          <w:sz w:val="24"/>
          <w:szCs w:val="24"/>
        </w:rPr>
        <w:t xml:space="preserve">legally </w:t>
      </w:r>
      <w:r w:rsidR="00703682" w:rsidRPr="00462C0B">
        <w:rPr>
          <w:rFonts w:ascii="Times New Roman" w:hAnsi="Times New Roman" w:cs="Times New Roman"/>
          <w:sz w:val="24"/>
          <w:szCs w:val="24"/>
        </w:rPr>
        <w:t xml:space="preserve">required to provide compensation for biodiversity loss could choose to do so through </w:t>
      </w:r>
      <w:r w:rsidR="00703682">
        <w:rPr>
          <w:rFonts w:ascii="Times New Roman" w:hAnsi="Times New Roman" w:cs="Times New Roman"/>
          <w:sz w:val="24"/>
          <w:szCs w:val="24"/>
        </w:rPr>
        <w:t>the purchase of biodiversity offsets</w:t>
      </w:r>
      <w:r w:rsidR="00703682" w:rsidRPr="00462C0B">
        <w:rPr>
          <w:rFonts w:ascii="Times New Roman" w:hAnsi="Times New Roman" w:cs="Times New Roman"/>
          <w:sz w:val="24"/>
          <w:szCs w:val="24"/>
        </w:rPr>
        <w:t xml:space="preserve">. </w:t>
      </w:r>
      <w:r w:rsidR="00703682">
        <w:rPr>
          <w:rFonts w:ascii="Times New Roman" w:hAnsi="Times New Roman" w:cs="Times New Roman"/>
          <w:sz w:val="24"/>
          <w:szCs w:val="24"/>
        </w:rPr>
        <w:t xml:space="preserve">Alternatively, developers could choose to undertake their own compensatory actions, rather than purchase credits via an offset supplier. </w:t>
      </w:r>
      <w:r w:rsidR="004360E4" w:rsidRPr="00462C0B">
        <w:rPr>
          <w:rFonts w:ascii="Times New Roman" w:hAnsi="Times New Roman" w:cs="Times New Roman"/>
          <w:color w:val="000000" w:themeColor="text1"/>
          <w:sz w:val="24"/>
          <w:szCs w:val="24"/>
        </w:rPr>
        <w:t xml:space="preserve">Timing of offset duration was also a contentious issue. Sullivan and Hannis (2015) noted that many landowners viewed </w:t>
      </w:r>
      <w:r w:rsidR="00FB6619" w:rsidRPr="00462C0B">
        <w:rPr>
          <w:rFonts w:ascii="Times New Roman" w:hAnsi="Times New Roman" w:cs="Times New Roman"/>
          <w:color w:val="000000" w:themeColor="text1"/>
          <w:sz w:val="24"/>
          <w:szCs w:val="24"/>
        </w:rPr>
        <w:t>in</w:t>
      </w:r>
      <w:r w:rsidR="00B1569E" w:rsidRPr="00462C0B">
        <w:rPr>
          <w:rFonts w:ascii="Times New Roman" w:hAnsi="Times New Roman" w:cs="Times New Roman"/>
          <w:color w:val="000000" w:themeColor="text1"/>
          <w:sz w:val="24"/>
          <w:szCs w:val="24"/>
        </w:rPr>
        <w:t>-</w:t>
      </w:r>
      <w:r w:rsidR="00FB6619" w:rsidRPr="00462C0B">
        <w:rPr>
          <w:rFonts w:ascii="Times New Roman" w:hAnsi="Times New Roman" w:cs="Times New Roman"/>
          <w:color w:val="000000" w:themeColor="text1"/>
          <w:sz w:val="24"/>
          <w:szCs w:val="24"/>
        </w:rPr>
        <w:t xml:space="preserve">perpetuity offsetting </w:t>
      </w:r>
      <w:r w:rsidR="004360E4" w:rsidRPr="00462C0B">
        <w:rPr>
          <w:rFonts w:ascii="Times New Roman" w:hAnsi="Times New Roman" w:cs="Times New Roman"/>
          <w:color w:val="000000" w:themeColor="text1"/>
          <w:sz w:val="24"/>
          <w:szCs w:val="24"/>
        </w:rPr>
        <w:t>as fundamentally wrong: ‘we suspect that many landowners will see little that is attractive about dedicating land in perpetuity. They might as well sell it.</w:t>
      </w:r>
      <w:r w:rsidR="00B1569E" w:rsidRPr="00462C0B">
        <w:rPr>
          <w:rFonts w:ascii="Times New Roman" w:hAnsi="Times New Roman" w:cs="Times New Roman"/>
          <w:color w:val="000000" w:themeColor="text1"/>
          <w:sz w:val="24"/>
          <w:szCs w:val="24"/>
        </w:rPr>
        <w:t>’</w:t>
      </w:r>
      <w:r w:rsidR="007E1A02" w:rsidRPr="00462C0B">
        <w:rPr>
          <w:rFonts w:ascii="Times New Roman" w:hAnsi="Times New Roman" w:cs="Times New Roman"/>
          <w:color w:val="000000" w:themeColor="text1"/>
          <w:sz w:val="24"/>
          <w:szCs w:val="24"/>
        </w:rPr>
        <w:t xml:space="preserve"> Furthermore, the gains for planning authorities in terms of reduced </w:t>
      </w:r>
      <w:r w:rsidR="009C492C" w:rsidRPr="00462C0B">
        <w:rPr>
          <w:rFonts w:ascii="Times New Roman" w:hAnsi="Times New Roman" w:cs="Times New Roman"/>
          <w:color w:val="000000" w:themeColor="text1"/>
          <w:sz w:val="24"/>
          <w:szCs w:val="24"/>
        </w:rPr>
        <w:t>bureaucracy</w:t>
      </w:r>
      <w:r w:rsidR="007E1A02" w:rsidRPr="00462C0B">
        <w:rPr>
          <w:rFonts w:ascii="Times New Roman" w:hAnsi="Times New Roman" w:cs="Times New Roman"/>
          <w:color w:val="000000" w:themeColor="text1"/>
          <w:sz w:val="24"/>
          <w:szCs w:val="24"/>
        </w:rPr>
        <w:t xml:space="preserve"> </w:t>
      </w:r>
      <w:r w:rsidR="007E1A02" w:rsidRPr="00462C0B">
        <w:rPr>
          <w:rFonts w:ascii="Times New Roman" w:hAnsi="Times New Roman" w:cs="Times New Roman"/>
          <w:color w:val="000000" w:themeColor="text1"/>
          <w:sz w:val="24"/>
          <w:szCs w:val="24"/>
        </w:rPr>
        <w:lastRenderedPageBreak/>
        <w:t xml:space="preserve">were thought to be minimal compared </w:t>
      </w:r>
      <w:r w:rsidR="004360E4" w:rsidRPr="00462C0B">
        <w:rPr>
          <w:rFonts w:ascii="Times New Roman" w:hAnsi="Times New Roman" w:cs="Times New Roman"/>
          <w:color w:val="000000" w:themeColor="text1"/>
          <w:sz w:val="24"/>
          <w:szCs w:val="24"/>
        </w:rPr>
        <w:t xml:space="preserve">to the current </w:t>
      </w:r>
      <w:r w:rsidR="007E1A02" w:rsidRPr="00462C0B">
        <w:rPr>
          <w:rFonts w:ascii="Times New Roman" w:hAnsi="Times New Roman" w:cs="Times New Roman"/>
          <w:color w:val="000000" w:themeColor="text1"/>
          <w:sz w:val="24"/>
          <w:szCs w:val="24"/>
        </w:rPr>
        <w:t xml:space="preserve">planning </w:t>
      </w:r>
      <w:r w:rsidR="004360E4" w:rsidRPr="00462C0B">
        <w:rPr>
          <w:rFonts w:ascii="Times New Roman" w:hAnsi="Times New Roman" w:cs="Times New Roman"/>
          <w:color w:val="000000" w:themeColor="text1"/>
          <w:sz w:val="24"/>
          <w:szCs w:val="24"/>
        </w:rPr>
        <w:t xml:space="preserve">system (Baker </w:t>
      </w:r>
      <w:r w:rsidR="004360E4" w:rsidRPr="00462C0B">
        <w:rPr>
          <w:rFonts w:ascii="Times New Roman" w:hAnsi="Times New Roman" w:cs="Times New Roman"/>
          <w:i/>
          <w:iCs/>
          <w:color w:val="000000" w:themeColor="text1"/>
          <w:sz w:val="24"/>
          <w:szCs w:val="24"/>
        </w:rPr>
        <w:t>et al</w:t>
      </w:r>
      <w:r w:rsidR="004935EE" w:rsidRPr="00462C0B">
        <w:rPr>
          <w:rFonts w:ascii="Times New Roman" w:hAnsi="Times New Roman" w:cs="Times New Roman"/>
          <w:i/>
          <w:iCs/>
          <w:color w:val="000000" w:themeColor="text1"/>
          <w:sz w:val="24"/>
          <w:szCs w:val="24"/>
        </w:rPr>
        <w:t xml:space="preserve">. </w:t>
      </w:r>
      <w:r w:rsidR="004360E4" w:rsidRPr="00462C0B">
        <w:rPr>
          <w:rFonts w:ascii="Times New Roman" w:hAnsi="Times New Roman" w:cs="Times New Roman"/>
          <w:color w:val="000000" w:themeColor="text1"/>
          <w:sz w:val="24"/>
          <w:szCs w:val="24"/>
        </w:rPr>
        <w:t>201</w:t>
      </w:r>
      <w:r w:rsidR="004935EE" w:rsidRPr="00462C0B">
        <w:rPr>
          <w:rFonts w:ascii="Times New Roman" w:hAnsi="Times New Roman" w:cs="Times New Roman"/>
          <w:color w:val="000000" w:themeColor="text1"/>
          <w:sz w:val="24"/>
          <w:szCs w:val="24"/>
        </w:rPr>
        <w:t xml:space="preserve">6). </w:t>
      </w:r>
      <w:r w:rsidR="00EC3933" w:rsidRPr="00462C0B">
        <w:rPr>
          <w:rFonts w:ascii="Times New Roman" w:hAnsi="Times New Roman" w:cs="Times New Roman"/>
          <w:color w:val="000000" w:themeColor="text1"/>
          <w:sz w:val="24"/>
          <w:szCs w:val="24"/>
        </w:rPr>
        <w:t>A key concern moving forward was the lack of established legal compliance within the planning sector to protect biodiversity (</w:t>
      </w:r>
      <w:proofErr w:type="spellStart"/>
      <w:r w:rsidR="00F40E48" w:rsidRPr="00462C0B">
        <w:rPr>
          <w:rFonts w:ascii="Times New Roman" w:hAnsi="Times New Roman" w:cs="Times New Roman"/>
          <w:color w:val="000000" w:themeColor="text1"/>
          <w:sz w:val="24"/>
          <w:szCs w:val="24"/>
        </w:rPr>
        <w:t>Taherzadeh</w:t>
      </w:r>
      <w:proofErr w:type="spellEnd"/>
      <w:r w:rsidR="00F40E48" w:rsidRPr="00462C0B">
        <w:rPr>
          <w:rFonts w:ascii="Times New Roman" w:hAnsi="Times New Roman" w:cs="Times New Roman"/>
          <w:color w:val="000000" w:themeColor="text1"/>
          <w:sz w:val="24"/>
          <w:szCs w:val="24"/>
        </w:rPr>
        <w:t xml:space="preserve"> and Howley 2018)</w:t>
      </w:r>
      <w:r w:rsidR="00EC3933" w:rsidRPr="00462C0B">
        <w:rPr>
          <w:rFonts w:ascii="Times New Roman" w:hAnsi="Times New Roman" w:cs="Times New Roman"/>
          <w:color w:val="000000" w:themeColor="text1"/>
          <w:sz w:val="24"/>
          <w:szCs w:val="24"/>
        </w:rPr>
        <w:t xml:space="preserve">. </w:t>
      </w:r>
      <w:r w:rsidR="008206D8" w:rsidRPr="00462C0B">
        <w:rPr>
          <w:rFonts w:ascii="Times New Roman" w:hAnsi="Times New Roman" w:cs="Times New Roman"/>
          <w:color w:val="000000" w:themeColor="text1"/>
          <w:sz w:val="24"/>
          <w:szCs w:val="24"/>
        </w:rPr>
        <w:t>Similar findings were found when interv</w:t>
      </w:r>
      <w:r w:rsidR="004F5F1C" w:rsidRPr="00462C0B">
        <w:rPr>
          <w:rFonts w:ascii="Times New Roman" w:hAnsi="Times New Roman" w:cs="Times New Roman"/>
          <w:color w:val="000000" w:themeColor="text1"/>
          <w:sz w:val="24"/>
          <w:szCs w:val="24"/>
        </w:rPr>
        <w:t>iewing stakeholders on how offsetting could be implemented in Sweden (</w:t>
      </w:r>
      <w:proofErr w:type="spellStart"/>
      <w:r w:rsidR="009A6094" w:rsidRPr="00462C0B">
        <w:rPr>
          <w:rFonts w:ascii="Times New Roman" w:hAnsi="Times New Roman" w:cs="Times New Roman"/>
          <w:color w:val="000000" w:themeColor="text1"/>
          <w:sz w:val="24"/>
          <w:szCs w:val="24"/>
        </w:rPr>
        <w:t>Blicharska</w:t>
      </w:r>
      <w:proofErr w:type="spellEnd"/>
      <w:r w:rsidR="009A6094" w:rsidRPr="00462C0B">
        <w:rPr>
          <w:rFonts w:ascii="Times New Roman" w:hAnsi="Times New Roman" w:cs="Times New Roman"/>
          <w:color w:val="000000" w:themeColor="text1"/>
          <w:sz w:val="24"/>
          <w:szCs w:val="24"/>
        </w:rPr>
        <w:t xml:space="preserve"> </w:t>
      </w:r>
      <w:r w:rsidR="009A6094" w:rsidRPr="00462C0B">
        <w:rPr>
          <w:rFonts w:ascii="Times New Roman" w:hAnsi="Times New Roman" w:cs="Times New Roman"/>
          <w:i/>
          <w:iCs/>
          <w:color w:val="000000" w:themeColor="text1"/>
          <w:sz w:val="24"/>
          <w:szCs w:val="24"/>
        </w:rPr>
        <w:t>et al</w:t>
      </w:r>
      <w:r w:rsidR="004F5F1C" w:rsidRPr="00462C0B">
        <w:rPr>
          <w:rFonts w:ascii="Times New Roman" w:hAnsi="Times New Roman" w:cs="Times New Roman"/>
          <w:i/>
          <w:iCs/>
          <w:color w:val="000000" w:themeColor="text1"/>
          <w:sz w:val="24"/>
          <w:szCs w:val="24"/>
        </w:rPr>
        <w:t xml:space="preserve">. </w:t>
      </w:r>
      <w:r w:rsidR="009A6094" w:rsidRPr="00462C0B">
        <w:rPr>
          <w:rFonts w:ascii="Times New Roman" w:hAnsi="Times New Roman" w:cs="Times New Roman"/>
          <w:color w:val="000000" w:themeColor="text1"/>
          <w:sz w:val="24"/>
          <w:szCs w:val="24"/>
        </w:rPr>
        <w:t>2022)</w:t>
      </w:r>
      <w:r w:rsidR="0013733A" w:rsidRPr="00462C0B">
        <w:rPr>
          <w:rFonts w:ascii="Times New Roman" w:hAnsi="Times New Roman" w:cs="Times New Roman"/>
          <w:color w:val="000000" w:themeColor="text1"/>
          <w:sz w:val="24"/>
          <w:szCs w:val="24"/>
        </w:rPr>
        <w:t xml:space="preserve">. </w:t>
      </w:r>
      <w:r w:rsidR="00F0415C" w:rsidRPr="00462C0B">
        <w:rPr>
          <w:rFonts w:ascii="Times New Roman" w:hAnsi="Times New Roman" w:cs="Times New Roman"/>
          <w:color w:val="000000" w:themeColor="text1"/>
          <w:sz w:val="24"/>
          <w:szCs w:val="24"/>
        </w:rPr>
        <w:t xml:space="preserve">Stakeholders emphasised the need </w:t>
      </w:r>
      <w:r w:rsidR="00442169" w:rsidRPr="00462C0B">
        <w:rPr>
          <w:rFonts w:ascii="Times New Roman" w:hAnsi="Times New Roman" w:cs="Times New Roman"/>
          <w:color w:val="000000" w:themeColor="text1"/>
          <w:sz w:val="24"/>
          <w:szCs w:val="24"/>
        </w:rPr>
        <w:t xml:space="preserve">for </w:t>
      </w:r>
      <w:r w:rsidR="00F0415C" w:rsidRPr="00462C0B">
        <w:rPr>
          <w:rFonts w:ascii="Times New Roman" w:hAnsi="Times New Roman" w:cs="Times New Roman"/>
          <w:color w:val="000000" w:themeColor="text1"/>
          <w:sz w:val="24"/>
          <w:szCs w:val="24"/>
        </w:rPr>
        <w:t>transparency when implementing standards, routines and control systems to ensure consistency in how similar cases were handled across the countr</w:t>
      </w:r>
      <w:r w:rsidR="00442169" w:rsidRPr="00462C0B">
        <w:rPr>
          <w:rFonts w:ascii="Times New Roman" w:hAnsi="Times New Roman" w:cs="Times New Roman"/>
          <w:color w:val="000000" w:themeColor="text1"/>
          <w:sz w:val="24"/>
          <w:szCs w:val="24"/>
        </w:rPr>
        <w:t>y</w:t>
      </w:r>
      <w:r w:rsidR="00F0415C" w:rsidRPr="00462C0B">
        <w:rPr>
          <w:rFonts w:ascii="Times New Roman" w:hAnsi="Times New Roman" w:cs="Times New Roman"/>
          <w:color w:val="000000" w:themeColor="text1"/>
          <w:sz w:val="24"/>
          <w:szCs w:val="24"/>
        </w:rPr>
        <w:t xml:space="preserve">. </w:t>
      </w:r>
    </w:p>
    <w:p w14:paraId="78C9C63C" w14:textId="70DE492C" w:rsidR="00B01B9A" w:rsidRPr="00462C0B" w:rsidRDefault="00593DB0" w:rsidP="00F86032">
      <w:pPr>
        <w:spacing w:line="360" w:lineRule="auto"/>
        <w:rPr>
          <w:rFonts w:ascii="Times New Roman" w:hAnsi="Times New Roman" w:cs="Times New Roman"/>
          <w:color w:val="000000" w:themeColor="text1"/>
          <w:sz w:val="24"/>
          <w:szCs w:val="24"/>
        </w:rPr>
      </w:pPr>
      <w:r w:rsidRPr="00462C0B">
        <w:rPr>
          <w:rFonts w:ascii="Times New Roman" w:hAnsi="Times New Roman" w:cs="Times New Roman"/>
          <w:color w:val="000000" w:themeColor="text1"/>
          <w:sz w:val="24"/>
          <w:szCs w:val="24"/>
        </w:rPr>
        <w:t xml:space="preserve">There is a clear divergence in two areas of offsetting when comparing wetland mitigation banking in the USA with the development of biodiversity offsets in the UK: mandatory trading </w:t>
      </w:r>
      <w:r w:rsidR="00CE63E4" w:rsidRPr="00462C0B">
        <w:rPr>
          <w:rFonts w:ascii="Times New Roman" w:hAnsi="Times New Roman" w:cs="Times New Roman"/>
          <w:color w:val="000000" w:themeColor="text1"/>
          <w:sz w:val="24"/>
          <w:szCs w:val="24"/>
        </w:rPr>
        <w:t xml:space="preserve">and in-perpetuity offsetting. </w:t>
      </w:r>
      <w:proofErr w:type="gramStart"/>
      <w:r w:rsidR="00F86032" w:rsidRPr="00462C0B">
        <w:rPr>
          <w:rFonts w:ascii="Times New Roman" w:hAnsi="Times New Roman" w:cs="Times New Roman"/>
          <w:color w:val="000000" w:themeColor="text1"/>
          <w:sz w:val="24"/>
          <w:szCs w:val="24"/>
        </w:rPr>
        <w:t>Both of these</w:t>
      </w:r>
      <w:proofErr w:type="gramEnd"/>
      <w:r w:rsidR="00F86032" w:rsidRPr="00462C0B">
        <w:rPr>
          <w:rFonts w:ascii="Times New Roman" w:hAnsi="Times New Roman" w:cs="Times New Roman"/>
          <w:color w:val="000000" w:themeColor="text1"/>
          <w:sz w:val="24"/>
          <w:szCs w:val="24"/>
        </w:rPr>
        <w:t xml:space="preserve"> relate to the incentives facing developers in needing to purchase offset credits and bankers</w:t>
      </w:r>
      <w:r w:rsidR="00B41FCE" w:rsidRPr="00462C0B">
        <w:rPr>
          <w:rFonts w:ascii="Times New Roman" w:hAnsi="Times New Roman" w:cs="Times New Roman"/>
          <w:color w:val="000000" w:themeColor="text1"/>
          <w:sz w:val="24"/>
          <w:szCs w:val="24"/>
        </w:rPr>
        <w:t>/</w:t>
      </w:r>
      <w:r w:rsidR="000F7A1F" w:rsidRPr="00462C0B">
        <w:rPr>
          <w:rFonts w:ascii="Times New Roman" w:hAnsi="Times New Roman" w:cs="Times New Roman"/>
          <w:color w:val="000000" w:themeColor="text1"/>
          <w:sz w:val="24"/>
          <w:szCs w:val="24"/>
        </w:rPr>
        <w:t xml:space="preserve">offset suppliers wishing to enter the market. </w:t>
      </w:r>
      <w:r w:rsidR="00121912" w:rsidRPr="00462C0B">
        <w:rPr>
          <w:rFonts w:ascii="Times New Roman" w:hAnsi="Times New Roman" w:cs="Times New Roman"/>
          <w:color w:val="000000" w:themeColor="text1"/>
          <w:sz w:val="24"/>
          <w:szCs w:val="24"/>
        </w:rPr>
        <w:t xml:space="preserve">We now discuss these in detail within sections 3.2 and 3.3. </w:t>
      </w:r>
      <w:r w:rsidR="002D2B6E" w:rsidRPr="00462C0B">
        <w:rPr>
          <w:rFonts w:ascii="Times New Roman" w:hAnsi="Times New Roman" w:cs="Times New Roman"/>
          <w:color w:val="000000" w:themeColor="text1"/>
          <w:sz w:val="24"/>
          <w:szCs w:val="24"/>
        </w:rPr>
        <w:t xml:space="preserve">A consistent theme across the case study analysis is the role of monitoring and enforcement, which we discuss in detail within section 3.4 </w:t>
      </w:r>
    </w:p>
    <w:p w14:paraId="2C476778" w14:textId="6DA33942" w:rsidR="00121912" w:rsidRDefault="00121912" w:rsidP="00121912">
      <w:pPr>
        <w:pStyle w:val="Heading2"/>
      </w:pPr>
      <w:r w:rsidRPr="00462C0B">
        <w:t>In perpetuity offsetting</w:t>
      </w:r>
    </w:p>
    <w:p w14:paraId="6017C682" w14:textId="08545E86" w:rsidR="00263D15" w:rsidRPr="002B00E0" w:rsidRDefault="001A0F5F" w:rsidP="002B00E0">
      <w:pPr>
        <w:pStyle w:val="Heading1"/>
        <w:numPr>
          <w:ilvl w:val="0"/>
          <w:numId w:val="0"/>
        </w:numPr>
        <w:rPr>
          <w:b w:val="0"/>
          <w:bCs w:val="0"/>
        </w:rPr>
      </w:pPr>
      <w:r>
        <w:rPr>
          <w:b w:val="0"/>
          <w:bCs w:val="0"/>
        </w:rPr>
        <w:t>The Business</w:t>
      </w:r>
      <w:r w:rsidR="00631AAD">
        <w:rPr>
          <w:b w:val="0"/>
          <w:bCs w:val="0"/>
        </w:rPr>
        <w:t xml:space="preserve"> and Biodiversity Offsets Programme Guidelines (2009) state that offset </w:t>
      </w:r>
      <w:r w:rsidR="00D54813">
        <w:rPr>
          <w:b w:val="0"/>
          <w:bCs w:val="0"/>
        </w:rPr>
        <w:t>outcomes should be secured in-</w:t>
      </w:r>
      <w:r w:rsidR="002B00E0">
        <w:rPr>
          <w:b w:val="0"/>
          <w:bCs w:val="0"/>
        </w:rPr>
        <w:t>perpetuity</w:t>
      </w:r>
      <w:r w:rsidR="00D54813">
        <w:rPr>
          <w:b w:val="0"/>
          <w:bCs w:val="0"/>
        </w:rPr>
        <w:t xml:space="preserve"> or at a minimum </w:t>
      </w:r>
      <w:proofErr w:type="gramStart"/>
      <w:r w:rsidR="00D54813">
        <w:rPr>
          <w:b w:val="0"/>
          <w:bCs w:val="0"/>
        </w:rPr>
        <w:t>as long as</w:t>
      </w:r>
      <w:proofErr w:type="gramEnd"/>
      <w:r w:rsidR="00D54813">
        <w:rPr>
          <w:b w:val="0"/>
          <w:bCs w:val="0"/>
        </w:rPr>
        <w:t xml:space="preserve"> the project</w:t>
      </w:r>
      <w:r w:rsidR="00C42D89">
        <w:rPr>
          <w:b w:val="0"/>
          <w:bCs w:val="0"/>
        </w:rPr>
        <w:t>’</w:t>
      </w:r>
      <w:r w:rsidR="00D54813">
        <w:rPr>
          <w:b w:val="0"/>
          <w:bCs w:val="0"/>
        </w:rPr>
        <w:t>s impa</w:t>
      </w:r>
      <w:r w:rsidR="002B00E0">
        <w:rPr>
          <w:b w:val="0"/>
          <w:bCs w:val="0"/>
        </w:rPr>
        <w:t>cts. This view is consistently shared by ecologists and conservationists throughout academic literature (see Pilgrim</w:t>
      </w:r>
      <w:r w:rsidR="009F4E45" w:rsidRPr="002B00E0">
        <w:rPr>
          <w:b w:val="0"/>
          <w:bCs w:val="0"/>
        </w:rPr>
        <w:t xml:space="preserve"> and </w:t>
      </w:r>
      <w:proofErr w:type="spellStart"/>
      <w:r w:rsidR="009F4E45" w:rsidRPr="002B00E0">
        <w:rPr>
          <w:b w:val="0"/>
          <w:bCs w:val="0"/>
        </w:rPr>
        <w:t>Bennun</w:t>
      </w:r>
      <w:proofErr w:type="spellEnd"/>
      <w:r w:rsidR="009F4E45" w:rsidRPr="002B00E0">
        <w:rPr>
          <w:b w:val="0"/>
          <w:bCs w:val="0"/>
        </w:rPr>
        <w:t xml:space="preserve"> 2014; Regnery </w:t>
      </w:r>
      <w:r w:rsidR="009F4E45" w:rsidRPr="002B00E0">
        <w:rPr>
          <w:b w:val="0"/>
          <w:bCs w:val="0"/>
          <w:i/>
          <w:iCs/>
        </w:rPr>
        <w:t>et al.</w:t>
      </w:r>
      <w:r w:rsidR="009F4E45" w:rsidRPr="002B00E0">
        <w:rPr>
          <w:b w:val="0"/>
          <w:bCs w:val="0"/>
        </w:rPr>
        <w:t xml:space="preserve"> 2013).</w:t>
      </w:r>
      <w:r w:rsidR="00263D15" w:rsidRPr="00462C0B">
        <w:t xml:space="preserve"> </w:t>
      </w:r>
    </w:p>
    <w:p w14:paraId="2E02364E" w14:textId="37ED7E97" w:rsidR="00340AC7" w:rsidRPr="00462C0B" w:rsidRDefault="00C74C64" w:rsidP="00C74C64">
      <w:pPr>
        <w:spacing w:line="360" w:lineRule="auto"/>
        <w:rPr>
          <w:rFonts w:ascii="Times New Roman" w:hAnsi="Times New Roman" w:cs="Times New Roman"/>
          <w:sz w:val="24"/>
          <w:szCs w:val="24"/>
        </w:rPr>
      </w:pPr>
      <w:r w:rsidRPr="00462C0B">
        <w:rPr>
          <w:rFonts w:ascii="Times New Roman" w:hAnsi="Times New Roman" w:cs="Times New Roman"/>
          <w:sz w:val="24"/>
          <w:szCs w:val="24"/>
        </w:rPr>
        <w:t>However</w:t>
      </w:r>
      <w:r w:rsidR="006006CD" w:rsidRPr="00462C0B">
        <w:rPr>
          <w:rFonts w:ascii="Times New Roman" w:hAnsi="Times New Roman" w:cs="Times New Roman"/>
          <w:sz w:val="24"/>
          <w:szCs w:val="24"/>
        </w:rPr>
        <w:t>,</w:t>
      </w:r>
      <w:r w:rsidRPr="00462C0B">
        <w:rPr>
          <w:rFonts w:ascii="Times New Roman" w:hAnsi="Times New Roman" w:cs="Times New Roman"/>
          <w:sz w:val="24"/>
          <w:szCs w:val="24"/>
        </w:rPr>
        <w:t xml:space="preserve"> what has emerged from the literature review is that a significant barrier to the implementation of offsets in European countries is the length of time that an offset site should be protected. L</w:t>
      </w:r>
      <w:r w:rsidR="00340AC7" w:rsidRPr="00462C0B">
        <w:rPr>
          <w:rFonts w:ascii="Times New Roman" w:hAnsi="Times New Roman" w:cs="Times New Roman"/>
          <w:sz w:val="24"/>
          <w:szCs w:val="24"/>
        </w:rPr>
        <w:t xml:space="preserve">and managers and regulatory bodies </w:t>
      </w:r>
      <w:r w:rsidR="004D3D02" w:rsidRPr="00462C0B">
        <w:rPr>
          <w:rFonts w:ascii="Times New Roman" w:hAnsi="Times New Roman" w:cs="Times New Roman"/>
          <w:sz w:val="24"/>
          <w:szCs w:val="24"/>
        </w:rPr>
        <w:t xml:space="preserve">have agreed on significantly </w:t>
      </w:r>
      <w:r w:rsidR="00340AC7" w:rsidRPr="00462C0B">
        <w:rPr>
          <w:rFonts w:ascii="Times New Roman" w:hAnsi="Times New Roman" w:cs="Times New Roman"/>
          <w:sz w:val="24"/>
          <w:szCs w:val="24"/>
        </w:rPr>
        <w:t>shorter timescales</w:t>
      </w:r>
      <w:r w:rsidR="004D3D02" w:rsidRPr="00462C0B">
        <w:rPr>
          <w:rFonts w:ascii="Times New Roman" w:hAnsi="Times New Roman" w:cs="Times New Roman"/>
          <w:sz w:val="24"/>
          <w:szCs w:val="24"/>
        </w:rPr>
        <w:t xml:space="preserve"> (</w:t>
      </w:r>
      <w:r w:rsidR="00340AC7" w:rsidRPr="00462C0B">
        <w:rPr>
          <w:rFonts w:ascii="Times New Roman" w:hAnsi="Times New Roman" w:cs="Times New Roman"/>
          <w:sz w:val="24"/>
          <w:szCs w:val="24"/>
        </w:rPr>
        <w:t>potentially 25 years</w:t>
      </w:r>
      <w:r w:rsidR="004D3D02" w:rsidRPr="00462C0B">
        <w:rPr>
          <w:rFonts w:ascii="Times New Roman" w:hAnsi="Times New Roman" w:cs="Times New Roman"/>
          <w:sz w:val="24"/>
          <w:szCs w:val="24"/>
        </w:rPr>
        <w:t>)</w:t>
      </w:r>
      <w:r w:rsidR="00E05CBE" w:rsidRPr="00462C0B">
        <w:rPr>
          <w:rFonts w:ascii="Times New Roman" w:hAnsi="Times New Roman" w:cs="Times New Roman"/>
          <w:sz w:val="24"/>
          <w:szCs w:val="24"/>
        </w:rPr>
        <w:t xml:space="preserve"> as being more attractive from a supply-side perspective</w:t>
      </w:r>
      <w:r w:rsidR="00340AC7" w:rsidRPr="00462C0B">
        <w:rPr>
          <w:rFonts w:ascii="Times New Roman" w:hAnsi="Times New Roman" w:cs="Times New Roman"/>
          <w:sz w:val="24"/>
          <w:szCs w:val="24"/>
        </w:rPr>
        <w:t xml:space="preserve">.  In a review of offsetting in the UK, many stakeholders argued that “in perpetuity” </w:t>
      </w:r>
      <w:r w:rsidR="00DA652D" w:rsidRPr="00462C0B">
        <w:rPr>
          <w:rFonts w:ascii="Times New Roman" w:hAnsi="Times New Roman" w:cs="Times New Roman"/>
          <w:sz w:val="24"/>
          <w:szCs w:val="24"/>
        </w:rPr>
        <w:t xml:space="preserve">offsetting </w:t>
      </w:r>
      <w:r w:rsidR="00340AC7" w:rsidRPr="00462C0B">
        <w:rPr>
          <w:rFonts w:ascii="Times New Roman" w:hAnsi="Times New Roman" w:cs="Times New Roman"/>
          <w:sz w:val="24"/>
          <w:szCs w:val="24"/>
        </w:rPr>
        <w:t>is un-attractive for many landowners</w:t>
      </w:r>
      <w:r w:rsidR="00B307ED">
        <w:rPr>
          <w:rFonts w:ascii="Times New Roman" w:hAnsi="Times New Roman" w:cs="Times New Roman"/>
          <w:sz w:val="24"/>
          <w:szCs w:val="24"/>
        </w:rPr>
        <w:t>,</w:t>
      </w:r>
      <w:r w:rsidR="00340AC7" w:rsidRPr="00462C0B">
        <w:rPr>
          <w:rFonts w:ascii="Times New Roman" w:hAnsi="Times New Roman" w:cs="Times New Roman"/>
          <w:sz w:val="24"/>
          <w:szCs w:val="24"/>
        </w:rPr>
        <w:t xml:space="preserve"> </w:t>
      </w:r>
      <w:r w:rsidR="00B307ED">
        <w:rPr>
          <w:rFonts w:ascii="Times New Roman" w:hAnsi="Times New Roman" w:cs="Times New Roman"/>
          <w:sz w:val="24"/>
          <w:szCs w:val="24"/>
        </w:rPr>
        <w:t>so that</w:t>
      </w:r>
      <w:r w:rsidR="00340AC7" w:rsidRPr="00462C0B">
        <w:rPr>
          <w:rFonts w:ascii="Times New Roman" w:hAnsi="Times New Roman" w:cs="Times New Roman"/>
          <w:sz w:val="24"/>
          <w:szCs w:val="24"/>
        </w:rPr>
        <w:t xml:space="preserve"> making this a requirement </w:t>
      </w:r>
      <w:r w:rsidR="00DA652D" w:rsidRPr="00462C0B">
        <w:rPr>
          <w:rFonts w:ascii="Times New Roman" w:hAnsi="Times New Roman" w:cs="Times New Roman"/>
          <w:sz w:val="24"/>
          <w:szCs w:val="24"/>
        </w:rPr>
        <w:t>w</w:t>
      </w:r>
      <w:r w:rsidR="00340AC7" w:rsidRPr="00462C0B">
        <w:rPr>
          <w:rFonts w:ascii="Times New Roman" w:hAnsi="Times New Roman" w:cs="Times New Roman"/>
          <w:sz w:val="24"/>
          <w:szCs w:val="24"/>
        </w:rPr>
        <w:t xml:space="preserve">ould </w:t>
      </w:r>
      <w:r w:rsidR="00DA652D" w:rsidRPr="00462C0B">
        <w:rPr>
          <w:rFonts w:ascii="Times New Roman" w:hAnsi="Times New Roman" w:cs="Times New Roman"/>
          <w:sz w:val="24"/>
          <w:szCs w:val="24"/>
        </w:rPr>
        <w:t>reduce</w:t>
      </w:r>
      <w:r w:rsidR="00340AC7" w:rsidRPr="00462C0B">
        <w:rPr>
          <w:rFonts w:ascii="Times New Roman" w:hAnsi="Times New Roman" w:cs="Times New Roman"/>
          <w:sz w:val="24"/>
          <w:szCs w:val="24"/>
        </w:rPr>
        <w:t xml:space="preserve"> the number of offset providers entering the market with many unwilling to permanently give up agricultural and development rights on their land </w:t>
      </w:r>
      <w:r w:rsidR="00451AA8" w:rsidRPr="00462C0B">
        <w:rPr>
          <w:rFonts w:ascii="Times New Roman" w:hAnsi="Times New Roman" w:cs="Times New Roman"/>
          <w:sz w:val="24"/>
          <w:szCs w:val="24"/>
        </w:rPr>
        <w:t xml:space="preserve">over such a long </w:t>
      </w:r>
      <w:proofErr w:type="gramStart"/>
      <w:r w:rsidR="00451AA8" w:rsidRPr="00462C0B">
        <w:rPr>
          <w:rFonts w:ascii="Times New Roman" w:hAnsi="Times New Roman" w:cs="Times New Roman"/>
          <w:sz w:val="24"/>
          <w:szCs w:val="24"/>
        </w:rPr>
        <w:t>time period</w:t>
      </w:r>
      <w:proofErr w:type="gramEnd"/>
      <w:r w:rsidR="00451AA8" w:rsidRPr="00462C0B">
        <w:rPr>
          <w:rFonts w:ascii="Times New Roman" w:hAnsi="Times New Roman" w:cs="Times New Roman"/>
          <w:sz w:val="24"/>
          <w:szCs w:val="24"/>
        </w:rPr>
        <w:t xml:space="preserve"> </w:t>
      </w:r>
      <w:r w:rsidR="00340AC7" w:rsidRPr="00462C0B">
        <w:rPr>
          <w:rFonts w:ascii="Times New Roman" w:hAnsi="Times New Roman" w:cs="Times New Roman"/>
          <w:sz w:val="24"/>
          <w:szCs w:val="24"/>
        </w:rPr>
        <w:t>(Sullivan and Hannis 2015).</w:t>
      </w:r>
      <w:r w:rsidR="00A1176A" w:rsidRPr="00462C0B">
        <w:t xml:space="preserve">  </w:t>
      </w:r>
      <w:proofErr w:type="spellStart"/>
      <w:r w:rsidR="00A1176A" w:rsidRPr="00462C0B">
        <w:rPr>
          <w:rFonts w:ascii="Times New Roman" w:hAnsi="Times New Roman" w:cs="Times New Roman"/>
          <w:sz w:val="24"/>
          <w:szCs w:val="24"/>
        </w:rPr>
        <w:t>Blicharska</w:t>
      </w:r>
      <w:proofErr w:type="spellEnd"/>
      <w:r w:rsidR="00A1176A" w:rsidRPr="00462C0B">
        <w:rPr>
          <w:rFonts w:ascii="Times New Roman" w:hAnsi="Times New Roman" w:cs="Times New Roman"/>
          <w:sz w:val="24"/>
          <w:szCs w:val="24"/>
        </w:rPr>
        <w:t xml:space="preserve"> </w:t>
      </w:r>
      <w:r w:rsidR="00A1176A" w:rsidRPr="00462C0B">
        <w:rPr>
          <w:rFonts w:ascii="Times New Roman" w:hAnsi="Times New Roman" w:cs="Times New Roman"/>
          <w:i/>
          <w:iCs/>
          <w:sz w:val="24"/>
          <w:szCs w:val="24"/>
        </w:rPr>
        <w:t>et al</w:t>
      </w:r>
      <w:r w:rsidR="00F54519" w:rsidRPr="00462C0B">
        <w:rPr>
          <w:rFonts w:ascii="Times New Roman" w:hAnsi="Times New Roman" w:cs="Times New Roman"/>
          <w:i/>
          <w:iCs/>
          <w:sz w:val="24"/>
          <w:szCs w:val="24"/>
        </w:rPr>
        <w:t>.</w:t>
      </w:r>
      <w:r w:rsidR="00A1176A" w:rsidRPr="00462C0B">
        <w:rPr>
          <w:rFonts w:ascii="Times New Roman" w:hAnsi="Times New Roman" w:cs="Times New Roman"/>
          <w:sz w:val="24"/>
          <w:szCs w:val="24"/>
        </w:rPr>
        <w:t xml:space="preserve"> (2022) used interviews and a workshop to investigate how offsetting could be implemented in Sweden. Their findings draw parrels with current difficulties in UK offsetting around the length of time an offset site should be protected. </w:t>
      </w:r>
      <w:r w:rsidR="00A1176A" w:rsidRPr="00462C0B">
        <w:rPr>
          <w:rFonts w:ascii="Times New Roman" w:hAnsi="Times New Roman" w:cs="Times New Roman"/>
          <w:sz w:val="24"/>
          <w:szCs w:val="24"/>
        </w:rPr>
        <w:lastRenderedPageBreak/>
        <w:t>Landowners are more agreeable to temporary offsets but not those that are protected in perpetuity. As a result, there is a lack of land availability for undertaking offsetting.</w:t>
      </w:r>
    </w:p>
    <w:p w14:paraId="467109C0" w14:textId="7E0C51E3" w:rsidR="00F54519" w:rsidRPr="00462C0B" w:rsidRDefault="00340AC7" w:rsidP="004D42AD">
      <w:pPr>
        <w:spacing w:line="360" w:lineRule="auto"/>
        <w:jc w:val="both"/>
        <w:rPr>
          <w:rFonts w:ascii="Times New Roman" w:hAnsi="Times New Roman" w:cs="Times New Roman"/>
          <w:sz w:val="24"/>
          <w:szCs w:val="24"/>
        </w:rPr>
      </w:pPr>
      <w:r w:rsidRPr="00462C0B">
        <w:rPr>
          <w:rFonts w:ascii="Times New Roman" w:hAnsi="Times New Roman" w:cs="Times New Roman"/>
          <w:sz w:val="24"/>
          <w:szCs w:val="24"/>
        </w:rPr>
        <w:t>In contrast, land use restrictions through conservation easements, coupled with long term management plans and appropriate financial instruments</w:t>
      </w:r>
      <w:r w:rsidR="009C6BB0">
        <w:rPr>
          <w:rFonts w:ascii="Times New Roman" w:hAnsi="Times New Roman" w:cs="Times New Roman"/>
          <w:sz w:val="24"/>
          <w:szCs w:val="24"/>
        </w:rPr>
        <w:t>,</w:t>
      </w:r>
      <w:r w:rsidRPr="00462C0B">
        <w:rPr>
          <w:rFonts w:ascii="Times New Roman" w:hAnsi="Times New Roman" w:cs="Times New Roman"/>
          <w:sz w:val="24"/>
          <w:szCs w:val="24"/>
        </w:rPr>
        <w:t xml:space="preserve"> are accepted in both wetland mitigation banking and species conservation in the USA (White </w:t>
      </w:r>
      <w:r w:rsidRPr="00462C0B">
        <w:rPr>
          <w:rFonts w:ascii="Times New Roman" w:hAnsi="Times New Roman" w:cs="Times New Roman"/>
          <w:i/>
          <w:iCs/>
          <w:sz w:val="24"/>
          <w:szCs w:val="24"/>
        </w:rPr>
        <w:t>et al</w:t>
      </w:r>
      <w:r w:rsidR="008D4888" w:rsidRPr="00462C0B">
        <w:rPr>
          <w:rFonts w:ascii="Times New Roman" w:hAnsi="Times New Roman" w:cs="Times New Roman"/>
          <w:i/>
          <w:iCs/>
          <w:sz w:val="24"/>
          <w:szCs w:val="24"/>
        </w:rPr>
        <w:t>.</w:t>
      </w:r>
      <w:r w:rsidRPr="00462C0B">
        <w:rPr>
          <w:rFonts w:ascii="Times New Roman" w:hAnsi="Times New Roman" w:cs="Times New Roman"/>
          <w:sz w:val="24"/>
          <w:szCs w:val="24"/>
        </w:rPr>
        <w:t xml:space="preserve"> 2021).</w:t>
      </w:r>
      <w:r w:rsidR="00F54519" w:rsidRPr="00462C0B">
        <w:rPr>
          <w:rFonts w:ascii="Times New Roman" w:hAnsi="Times New Roman" w:cs="Times New Roman"/>
          <w:sz w:val="24"/>
          <w:szCs w:val="24"/>
        </w:rPr>
        <w:t xml:space="preserve"> </w:t>
      </w:r>
      <w:r w:rsidR="002E4710" w:rsidRPr="00462C0B">
        <w:rPr>
          <w:rFonts w:ascii="Times New Roman" w:hAnsi="Times New Roman" w:cs="Times New Roman"/>
          <w:sz w:val="24"/>
          <w:szCs w:val="24"/>
        </w:rPr>
        <w:t>Evidence from Aust</w:t>
      </w:r>
      <w:r w:rsidR="00214185" w:rsidRPr="00462C0B">
        <w:rPr>
          <w:rFonts w:ascii="Times New Roman" w:hAnsi="Times New Roman" w:cs="Times New Roman"/>
          <w:sz w:val="24"/>
          <w:szCs w:val="24"/>
        </w:rPr>
        <w:t xml:space="preserve">ralia from private land conservation programmes also suggests that landowners are willing to sign up </w:t>
      </w:r>
      <w:r w:rsidR="00EF29DA" w:rsidRPr="00462C0B">
        <w:rPr>
          <w:rFonts w:ascii="Times New Roman" w:hAnsi="Times New Roman" w:cs="Times New Roman"/>
          <w:sz w:val="24"/>
          <w:szCs w:val="24"/>
        </w:rPr>
        <w:t>for</w:t>
      </w:r>
      <w:r w:rsidR="000739A0" w:rsidRPr="00462C0B">
        <w:rPr>
          <w:rFonts w:ascii="Times New Roman" w:hAnsi="Times New Roman" w:cs="Times New Roman"/>
          <w:sz w:val="24"/>
          <w:szCs w:val="24"/>
        </w:rPr>
        <w:t xml:space="preserve"> environmental protection programmes that protect their land from development </w:t>
      </w:r>
      <w:r w:rsidR="00BA74AD" w:rsidRPr="00462C0B">
        <w:rPr>
          <w:rFonts w:ascii="Times New Roman" w:hAnsi="Times New Roman" w:cs="Times New Roman"/>
          <w:sz w:val="24"/>
          <w:szCs w:val="24"/>
        </w:rPr>
        <w:t xml:space="preserve">over many decades (see Brown et al. 2021; </w:t>
      </w:r>
      <w:proofErr w:type="spellStart"/>
      <w:r w:rsidR="00576A5B" w:rsidRPr="00462C0B">
        <w:rPr>
          <w:rFonts w:ascii="Times New Roman" w:hAnsi="Times New Roman" w:cs="Times New Roman"/>
          <w:sz w:val="24"/>
          <w:szCs w:val="24"/>
        </w:rPr>
        <w:t>Selinske</w:t>
      </w:r>
      <w:proofErr w:type="spellEnd"/>
      <w:r w:rsidR="00576A5B" w:rsidRPr="00462C0B">
        <w:rPr>
          <w:rFonts w:ascii="Times New Roman" w:hAnsi="Times New Roman" w:cs="Times New Roman"/>
          <w:sz w:val="24"/>
          <w:szCs w:val="24"/>
        </w:rPr>
        <w:t xml:space="preserve"> </w:t>
      </w:r>
      <w:r w:rsidR="00576A5B" w:rsidRPr="00462C0B">
        <w:rPr>
          <w:rFonts w:ascii="Times New Roman" w:hAnsi="Times New Roman" w:cs="Times New Roman"/>
          <w:i/>
          <w:iCs/>
          <w:sz w:val="24"/>
          <w:szCs w:val="24"/>
        </w:rPr>
        <w:t>et al.</w:t>
      </w:r>
      <w:r w:rsidR="00576A5B" w:rsidRPr="00462C0B">
        <w:rPr>
          <w:rFonts w:ascii="Times New Roman" w:hAnsi="Times New Roman" w:cs="Times New Roman"/>
          <w:sz w:val="24"/>
          <w:szCs w:val="24"/>
        </w:rPr>
        <w:t xml:space="preserve"> 2019; </w:t>
      </w:r>
      <w:proofErr w:type="spellStart"/>
      <w:r w:rsidR="00995941" w:rsidRPr="00462C0B">
        <w:rPr>
          <w:rFonts w:ascii="Times New Roman" w:hAnsi="Times New Roman" w:cs="Times New Roman"/>
          <w:sz w:val="24"/>
          <w:szCs w:val="24"/>
        </w:rPr>
        <w:t>Selinske</w:t>
      </w:r>
      <w:proofErr w:type="spellEnd"/>
      <w:r w:rsidR="00995941" w:rsidRPr="00462C0B">
        <w:rPr>
          <w:rFonts w:ascii="Times New Roman" w:hAnsi="Times New Roman" w:cs="Times New Roman"/>
          <w:sz w:val="24"/>
          <w:szCs w:val="24"/>
        </w:rPr>
        <w:t xml:space="preserve"> </w:t>
      </w:r>
      <w:r w:rsidR="00995941" w:rsidRPr="00462C0B">
        <w:rPr>
          <w:rFonts w:ascii="Times New Roman" w:hAnsi="Times New Roman" w:cs="Times New Roman"/>
          <w:i/>
          <w:iCs/>
          <w:sz w:val="24"/>
          <w:szCs w:val="24"/>
        </w:rPr>
        <w:t>et al</w:t>
      </w:r>
      <w:r w:rsidR="00995941" w:rsidRPr="00462C0B">
        <w:rPr>
          <w:rFonts w:ascii="Times New Roman" w:hAnsi="Times New Roman" w:cs="Times New Roman"/>
          <w:sz w:val="24"/>
          <w:szCs w:val="24"/>
        </w:rPr>
        <w:t xml:space="preserve">. 2022). </w:t>
      </w:r>
    </w:p>
    <w:p w14:paraId="509A985E" w14:textId="232B391F" w:rsidR="00A16D3C" w:rsidRPr="00462C0B" w:rsidRDefault="00A674AB" w:rsidP="00734BA9">
      <w:pPr>
        <w:spacing w:line="360" w:lineRule="auto"/>
        <w:jc w:val="both"/>
        <w:rPr>
          <w:rFonts w:ascii="Times New Roman" w:hAnsi="Times New Roman" w:cs="Times New Roman"/>
          <w:sz w:val="24"/>
          <w:szCs w:val="24"/>
        </w:rPr>
      </w:pPr>
      <w:r w:rsidRPr="00462C0B">
        <w:rPr>
          <w:rFonts w:ascii="Times New Roman" w:hAnsi="Times New Roman" w:cs="Times New Roman"/>
          <w:sz w:val="24"/>
          <w:szCs w:val="24"/>
        </w:rPr>
        <w:t>Motivations for permanent land protection are</w:t>
      </w:r>
      <w:r w:rsidR="001076AD" w:rsidRPr="00462C0B">
        <w:rPr>
          <w:rFonts w:ascii="Times New Roman" w:hAnsi="Times New Roman" w:cs="Times New Roman"/>
          <w:sz w:val="24"/>
          <w:szCs w:val="24"/>
        </w:rPr>
        <w:t xml:space="preserve"> both financial and non</w:t>
      </w:r>
      <w:r w:rsidR="00EF29DA" w:rsidRPr="00462C0B">
        <w:rPr>
          <w:rFonts w:ascii="Times New Roman" w:hAnsi="Times New Roman" w:cs="Times New Roman"/>
          <w:sz w:val="24"/>
          <w:szCs w:val="24"/>
        </w:rPr>
        <w:t>-</w:t>
      </w:r>
      <w:r w:rsidR="001076AD" w:rsidRPr="00462C0B">
        <w:rPr>
          <w:rFonts w:ascii="Times New Roman" w:hAnsi="Times New Roman" w:cs="Times New Roman"/>
          <w:sz w:val="24"/>
          <w:szCs w:val="24"/>
        </w:rPr>
        <w:t xml:space="preserve">financial. </w:t>
      </w:r>
      <w:r w:rsidR="005C2E83" w:rsidRPr="00462C0B">
        <w:rPr>
          <w:rFonts w:ascii="Times New Roman" w:hAnsi="Times New Roman" w:cs="Times New Roman"/>
          <w:sz w:val="24"/>
          <w:szCs w:val="24"/>
        </w:rPr>
        <w:t>Financial incentives include various types of tax benefits, rate rebates, stewardship payments or reimbursements to cover management costs (</w:t>
      </w:r>
      <w:proofErr w:type="spellStart"/>
      <w:r w:rsidR="00D9345E" w:rsidRPr="00462C0B">
        <w:rPr>
          <w:rFonts w:ascii="Times New Roman" w:hAnsi="Times New Roman" w:cs="Times New Roman"/>
          <w:sz w:val="24"/>
          <w:szCs w:val="24"/>
        </w:rPr>
        <w:t>Selinske</w:t>
      </w:r>
      <w:proofErr w:type="spellEnd"/>
      <w:r w:rsidR="00D9345E" w:rsidRPr="00462C0B">
        <w:rPr>
          <w:rFonts w:ascii="Times New Roman" w:hAnsi="Times New Roman" w:cs="Times New Roman"/>
          <w:sz w:val="24"/>
          <w:szCs w:val="24"/>
        </w:rPr>
        <w:t xml:space="preserve"> </w:t>
      </w:r>
      <w:r w:rsidR="00D9345E" w:rsidRPr="00462C0B">
        <w:rPr>
          <w:rFonts w:ascii="Times New Roman" w:hAnsi="Times New Roman" w:cs="Times New Roman"/>
          <w:i/>
          <w:iCs/>
          <w:sz w:val="24"/>
          <w:szCs w:val="24"/>
        </w:rPr>
        <w:t>et al</w:t>
      </w:r>
      <w:r w:rsidR="00D9345E" w:rsidRPr="00462C0B">
        <w:rPr>
          <w:rFonts w:ascii="Times New Roman" w:hAnsi="Times New Roman" w:cs="Times New Roman"/>
          <w:sz w:val="24"/>
          <w:szCs w:val="24"/>
        </w:rPr>
        <w:t>. 2022</w:t>
      </w:r>
      <w:r w:rsidR="005C2E83" w:rsidRPr="00462C0B">
        <w:rPr>
          <w:rFonts w:ascii="Times New Roman" w:hAnsi="Times New Roman" w:cs="Times New Roman"/>
          <w:sz w:val="24"/>
          <w:szCs w:val="24"/>
        </w:rPr>
        <w:t>).</w:t>
      </w:r>
      <w:r w:rsidR="00AB517E" w:rsidRPr="00462C0B">
        <w:rPr>
          <w:rFonts w:ascii="Times New Roman" w:hAnsi="Times New Roman" w:cs="Times New Roman"/>
          <w:sz w:val="24"/>
          <w:szCs w:val="24"/>
        </w:rPr>
        <w:t xml:space="preserve"> </w:t>
      </w:r>
      <w:r w:rsidR="008E43A5" w:rsidRPr="00462C0B">
        <w:rPr>
          <w:rFonts w:ascii="Times New Roman" w:hAnsi="Times New Roman" w:cs="Times New Roman"/>
          <w:sz w:val="24"/>
          <w:szCs w:val="24"/>
        </w:rPr>
        <w:t>Financial incentives are particular</w:t>
      </w:r>
      <w:r w:rsidR="00EF29DA" w:rsidRPr="00462C0B">
        <w:rPr>
          <w:rFonts w:ascii="Times New Roman" w:hAnsi="Times New Roman" w:cs="Times New Roman"/>
          <w:sz w:val="24"/>
          <w:szCs w:val="24"/>
        </w:rPr>
        <w:t>l</w:t>
      </w:r>
      <w:r w:rsidR="008E43A5" w:rsidRPr="00462C0B">
        <w:rPr>
          <w:rFonts w:ascii="Times New Roman" w:hAnsi="Times New Roman" w:cs="Times New Roman"/>
          <w:sz w:val="24"/>
          <w:szCs w:val="24"/>
        </w:rPr>
        <w:t xml:space="preserve">y needed for landowners who are financially dependent on their land </w:t>
      </w:r>
      <w:r w:rsidR="002075D0" w:rsidRPr="00462C0B">
        <w:rPr>
          <w:rFonts w:ascii="Times New Roman" w:hAnsi="Times New Roman" w:cs="Times New Roman"/>
          <w:sz w:val="24"/>
          <w:szCs w:val="24"/>
        </w:rPr>
        <w:t>(</w:t>
      </w:r>
      <w:proofErr w:type="spellStart"/>
      <w:r w:rsidR="002075D0" w:rsidRPr="00462C0B">
        <w:rPr>
          <w:rFonts w:ascii="Times New Roman" w:hAnsi="Times New Roman" w:cs="Times New Roman"/>
          <w:sz w:val="24"/>
          <w:szCs w:val="24"/>
        </w:rPr>
        <w:t>Selinske</w:t>
      </w:r>
      <w:proofErr w:type="spellEnd"/>
      <w:r w:rsidR="002075D0" w:rsidRPr="00462C0B">
        <w:rPr>
          <w:rFonts w:ascii="Times New Roman" w:hAnsi="Times New Roman" w:cs="Times New Roman"/>
          <w:sz w:val="24"/>
          <w:szCs w:val="24"/>
        </w:rPr>
        <w:t xml:space="preserve"> </w:t>
      </w:r>
      <w:r w:rsidR="002075D0" w:rsidRPr="00462C0B">
        <w:rPr>
          <w:rFonts w:ascii="Times New Roman" w:hAnsi="Times New Roman" w:cs="Times New Roman"/>
          <w:i/>
          <w:iCs/>
          <w:sz w:val="24"/>
          <w:szCs w:val="24"/>
        </w:rPr>
        <w:t>et al</w:t>
      </w:r>
      <w:r w:rsidR="002075D0" w:rsidRPr="00462C0B">
        <w:rPr>
          <w:rFonts w:ascii="Times New Roman" w:hAnsi="Times New Roman" w:cs="Times New Roman"/>
          <w:sz w:val="24"/>
          <w:szCs w:val="24"/>
        </w:rPr>
        <w:t xml:space="preserve">. 2017). </w:t>
      </w:r>
      <w:r w:rsidR="00B40C59" w:rsidRPr="00462C0B">
        <w:rPr>
          <w:rFonts w:ascii="Times New Roman" w:hAnsi="Times New Roman" w:cs="Times New Roman"/>
          <w:sz w:val="24"/>
          <w:szCs w:val="24"/>
        </w:rPr>
        <w:t xml:space="preserve">In Australia, evidence has shown that one of the main reasons landowners sign up </w:t>
      </w:r>
      <w:r w:rsidR="00EF29DA" w:rsidRPr="00462C0B">
        <w:rPr>
          <w:rFonts w:ascii="Times New Roman" w:hAnsi="Times New Roman" w:cs="Times New Roman"/>
          <w:sz w:val="24"/>
          <w:szCs w:val="24"/>
        </w:rPr>
        <w:t>for</w:t>
      </w:r>
      <w:r w:rsidR="00B40C59" w:rsidRPr="00462C0B">
        <w:rPr>
          <w:rFonts w:ascii="Times New Roman" w:hAnsi="Times New Roman" w:cs="Times New Roman"/>
          <w:sz w:val="24"/>
          <w:szCs w:val="24"/>
        </w:rPr>
        <w:t xml:space="preserve"> these programmes is to protect their land </w:t>
      </w:r>
      <w:r w:rsidR="00F91EAD" w:rsidRPr="00462C0B">
        <w:rPr>
          <w:rFonts w:ascii="Times New Roman" w:hAnsi="Times New Roman" w:cs="Times New Roman"/>
          <w:sz w:val="24"/>
          <w:szCs w:val="24"/>
        </w:rPr>
        <w:t xml:space="preserve">from future development </w:t>
      </w:r>
      <w:r w:rsidR="00FD3032" w:rsidRPr="00462C0B">
        <w:rPr>
          <w:rFonts w:ascii="Times New Roman" w:hAnsi="Times New Roman" w:cs="Times New Roman"/>
          <w:sz w:val="24"/>
          <w:szCs w:val="24"/>
        </w:rPr>
        <w:t>but expect some level of support in terms of financial and technical assistance in managing their land from a regulatory authority (</w:t>
      </w:r>
      <w:proofErr w:type="spellStart"/>
      <w:r w:rsidR="00FD3032" w:rsidRPr="00462C0B">
        <w:rPr>
          <w:rFonts w:ascii="Times New Roman" w:hAnsi="Times New Roman" w:cs="Times New Roman"/>
          <w:sz w:val="24"/>
          <w:szCs w:val="24"/>
        </w:rPr>
        <w:t>Selinske</w:t>
      </w:r>
      <w:proofErr w:type="spellEnd"/>
      <w:r w:rsidR="00FD3032" w:rsidRPr="00462C0B">
        <w:rPr>
          <w:rFonts w:ascii="Times New Roman" w:hAnsi="Times New Roman" w:cs="Times New Roman"/>
          <w:sz w:val="24"/>
          <w:szCs w:val="24"/>
        </w:rPr>
        <w:t xml:space="preserve"> </w:t>
      </w:r>
      <w:r w:rsidR="00FD3032" w:rsidRPr="00462C0B">
        <w:rPr>
          <w:rFonts w:ascii="Times New Roman" w:hAnsi="Times New Roman" w:cs="Times New Roman"/>
          <w:i/>
          <w:iCs/>
          <w:sz w:val="24"/>
          <w:szCs w:val="24"/>
        </w:rPr>
        <w:t>et al.</w:t>
      </w:r>
      <w:r w:rsidR="00FD3032" w:rsidRPr="00462C0B">
        <w:rPr>
          <w:rFonts w:ascii="Times New Roman" w:hAnsi="Times New Roman" w:cs="Times New Roman"/>
          <w:sz w:val="24"/>
          <w:szCs w:val="24"/>
        </w:rPr>
        <w:t xml:space="preserve"> 2019</w:t>
      </w:r>
      <w:r w:rsidR="00995941" w:rsidRPr="00462C0B">
        <w:rPr>
          <w:rFonts w:ascii="Times New Roman" w:hAnsi="Times New Roman" w:cs="Times New Roman"/>
          <w:sz w:val="24"/>
          <w:szCs w:val="24"/>
        </w:rPr>
        <w:t xml:space="preserve">; </w:t>
      </w:r>
      <w:proofErr w:type="spellStart"/>
      <w:r w:rsidR="00995941" w:rsidRPr="00462C0B">
        <w:rPr>
          <w:rFonts w:ascii="Times New Roman" w:hAnsi="Times New Roman" w:cs="Times New Roman"/>
          <w:sz w:val="24"/>
          <w:szCs w:val="24"/>
        </w:rPr>
        <w:t>Selinske</w:t>
      </w:r>
      <w:proofErr w:type="spellEnd"/>
      <w:r w:rsidR="00995941" w:rsidRPr="00462C0B">
        <w:rPr>
          <w:rFonts w:ascii="Times New Roman" w:hAnsi="Times New Roman" w:cs="Times New Roman"/>
          <w:sz w:val="24"/>
          <w:szCs w:val="24"/>
        </w:rPr>
        <w:t xml:space="preserve"> </w:t>
      </w:r>
      <w:r w:rsidR="00995941" w:rsidRPr="00462C0B">
        <w:rPr>
          <w:rFonts w:ascii="Times New Roman" w:hAnsi="Times New Roman" w:cs="Times New Roman"/>
          <w:i/>
          <w:iCs/>
          <w:sz w:val="24"/>
          <w:szCs w:val="24"/>
        </w:rPr>
        <w:t>et al</w:t>
      </w:r>
      <w:r w:rsidR="00995941" w:rsidRPr="00462C0B">
        <w:rPr>
          <w:rFonts w:ascii="Times New Roman" w:hAnsi="Times New Roman" w:cs="Times New Roman"/>
          <w:sz w:val="24"/>
          <w:szCs w:val="24"/>
        </w:rPr>
        <w:t>. 2022</w:t>
      </w:r>
      <w:r w:rsidR="00FD3032" w:rsidRPr="00462C0B">
        <w:rPr>
          <w:rFonts w:ascii="Times New Roman" w:hAnsi="Times New Roman" w:cs="Times New Roman"/>
          <w:sz w:val="24"/>
          <w:szCs w:val="24"/>
        </w:rPr>
        <w:t xml:space="preserve">). In addition, </w:t>
      </w:r>
      <w:r w:rsidR="001076AD" w:rsidRPr="00462C0B">
        <w:rPr>
          <w:rFonts w:ascii="Times New Roman" w:hAnsi="Times New Roman" w:cs="Times New Roman"/>
          <w:sz w:val="24"/>
          <w:szCs w:val="24"/>
        </w:rPr>
        <w:t xml:space="preserve">flexibility within the programme was seen as critical, in terms of being able to choose what land </w:t>
      </w:r>
      <w:r w:rsidR="00A16D3C" w:rsidRPr="00462C0B">
        <w:rPr>
          <w:rFonts w:ascii="Times New Roman" w:hAnsi="Times New Roman" w:cs="Times New Roman"/>
          <w:sz w:val="24"/>
          <w:szCs w:val="24"/>
        </w:rPr>
        <w:t xml:space="preserve">is included </w:t>
      </w:r>
      <w:proofErr w:type="gramStart"/>
      <w:r w:rsidR="00A16D3C" w:rsidRPr="00462C0B">
        <w:rPr>
          <w:rFonts w:ascii="Times New Roman" w:hAnsi="Times New Roman" w:cs="Times New Roman"/>
          <w:sz w:val="24"/>
          <w:szCs w:val="24"/>
        </w:rPr>
        <w:t>and also</w:t>
      </w:r>
      <w:proofErr w:type="gramEnd"/>
      <w:r w:rsidR="00A16D3C" w:rsidRPr="00462C0B">
        <w:rPr>
          <w:rFonts w:ascii="Times New Roman" w:hAnsi="Times New Roman" w:cs="Times New Roman"/>
          <w:sz w:val="24"/>
          <w:szCs w:val="24"/>
        </w:rPr>
        <w:t xml:space="preserve"> the length of the programme (Brown </w:t>
      </w:r>
      <w:r w:rsidR="00A16D3C" w:rsidRPr="00462C0B">
        <w:rPr>
          <w:rFonts w:ascii="Times New Roman" w:hAnsi="Times New Roman" w:cs="Times New Roman"/>
          <w:i/>
          <w:iCs/>
          <w:sz w:val="24"/>
          <w:szCs w:val="24"/>
        </w:rPr>
        <w:t>et al</w:t>
      </w:r>
      <w:r w:rsidR="00A16D3C" w:rsidRPr="00462C0B">
        <w:rPr>
          <w:rFonts w:ascii="Times New Roman" w:hAnsi="Times New Roman" w:cs="Times New Roman"/>
          <w:sz w:val="24"/>
          <w:szCs w:val="24"/>
        </w:rPr>
        <w:t xml:space="preserve">. 2021). </w:t>
      </w:r>
    </w:p>
    <w:p w14:paraId="10F2B077" w14:textId="021889A0" w:rsidR="00121912" w:rsidRPr="00462C0B" w:rsidRDefault="00121912" w:rsidP="00121912">
      <w:pPr>
        <w:pStyle w:val="Heading2"/>
      </w:pPr>
      <w:r w:rsidRPr="00462C0B">
        <w:t>A mandatory offset market</w:t>
      </w:r>
      <w:r w:rsidR="004D42AD" w:rsidRPr="00462C0B">
        <w:t>?</w:t>
      </w:r>
    </w:p>
    <w:p w14:paraId="1B39C7C1" w14:textId="7CCA1CA7" w:rsidR="007C2BF3" w:rsidRDefault="00957CA1" w:rsidP="00B05C55">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Evidence to date suggests a mandatory system would be more successful with all developers needing to purchase credits, thus incentivizing landowners to set aside more land to offsetting </w:t>
      </w:r>
      <w:r w:rsidR="00D27B55">
        <w:rPr>
          <w:rFonts w:ascii="Times New Roman" w:hAnsi="Times New Roman" w:cs="Times New Roman"/>
          <w:sz w:val="24"/>
          <w:szCs w:val="24"/>
        </w:rPr>
        <w:t xml:space="preserve">, thus </w:t>
      </w:r>
      <w:r w:rsidRPr="00462C0B">
        <w:rPr>
          <w:rFonts w:ascii="Times New Roman" w:hAnsi="Times New Roman" w:cs="Times New Roman"/>
          <w:sz w:val="24"/>
          <w:szCs w:val="24"/>
        </w:rPr>
        <w:t>creat</w:t>
      </w:r>
      <w:r w:rsidR="00D27B55">
        <w:rPr>
          <w:rFonts w:ascii="Times New Roman" w:hAnsi="Times New Roman" w:cs="Times New Roman"/>
          <w:sz w:val="24"/>
          <w:szCs w:val="24"/>
        </w:rPr>
        <w:t>ing</w:t>
      </w:r>
      <w:r w:rsidRPr="00462C0B">
        <w:rPr>
          <w:rFonts w:ascii="Times New Roman" w:hAnsi="Times New Roman" w:cs="Times New Roman"/>
          <w:sz w:val="24"/>
          <w:szCs w:val="24"/>
        </w:rPr>
        <w:t xml:space="preserve"> a larger market. Voluntary markets often lead to difficulties in obtaining information about potential buyers and sellers (Wissel and Watzold 2010</w:t>
      </w:r>
      <w:r w:rsidR="007C2BF3" w:rsidRPr="00462C0B">
        <w:rPr>
          <w:rFonts w:ascii="Times New Roman" w:hAnsi="Times New Roman" w:cs="Times New Roman"/>
          <w:sz w:val="24"/>
          <w:szCs w:val="24"/>
        </w:rPr>
        <w:t>) and</w:t>
      </w:r>
      <w:r w:rsidR="00235527" w:rsidRPr="00462C0B">
        <w:rPr>
          <w:rFonts w:ascii="Times New Roman" w:hAnsi="Times New Roman" w:cs="Times New Roman"/>
          <w:sz w:val="24"/>
          <w:szCs w:val="24"/>
        </w:rPr>
        <w:t xml:space="preserve"> will likely lead to lower levels of demand than </w:t>
      </w:r>
      <w:r w:rsidR="009622F2" w:rsidRPr="00462C0B">
        <w:rPr>
          <w:rFonts w:ascii="Times New Roman" w:hAnsi="Times New Roman" w:cs="Times New Roman"/>
          <w:sz w:val="24"/>
          <w:szCs w:val="24"/>
        </w:rPr>
        <w:t>regulated markets where developers are compelled to offset their actions</w:t>
      </w:r>
      <w:r w:rsidRPr="00462C0B">
        <w:rPr>
          <w:rFonts w:ascii="Times New Roman" w:hAnsi="Times New Roman" w:cs="Times New Roman"/>
          <w:sz w:val="24"/>
          <w:szCs w:val="24"/>
        </w:rPr>
        <w:t>.</w:t>
      </w:r>
    </w:p>
    <w:p w14:paraId="1CAD1CD1" w14:textId="1AB48FEE" w:rsidR="00B05C55" w:rsidRPr="00462C0B" w:rsidRDefault="00957CA1" w:rsidP="009E3E29">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 In the UK, Defra ha</w:t>
      </w:r>
      <w:r w:rsidR="0008072E" w:rsidRPr="00462C0B">
        <w:rPr>
          <w:rFonts w:ascii="Times New Roman" w:hAnsi="Times New Roman" w:cs="Times New Roman"/>
          <w:sz w:val="24"/>
          <w:szCs w:val="24"/>
        </w:rPr>
        <w:t>d</w:t>
      </w:r>
      <w:r w:rsidRPr="00462C0B">
        <w:rPr>
          <w:rFonts w:ascii="Times New Roman" w:hAnsi="Times New Roman" w:cs="Times New Roman"/>
          <w:sz w:val="24"/>
          <w:szCs w:val="24"/>
        </w:rPr>
        <w:t xml:space="preserve"> been explicit in their preference for voluntary based offsetting, with developers able to choose the compensation option they prefer, a preference backed by the housing developers themselves (Lockhart 2015; Sullivan and Hannis 2015). In contrast, stakeholders from environmental and green business groups emphasised the need for the UK market to be mandatory. Their argument stemmed from concerns that developers will opt </w:t>
      </w:r>
      <w:r w:rsidRPr="00462C0B">
        <w:rPr>
          <w:rFonts w:ascii="Times New Roman" w:hAnsi="Times New Roman" w:cs="Times New Roman"/>
          <w:sz w:val="24"/>
          <w:szCs w:val="24"/>
        </w:rPr>
        <w:lastRenderedPageBreak/>
        <w:t xml:space="preserve">against the extra cost of offsets, resulting in a low demand for credits. Resultant low demand would also inhibit supply, impair market efficiencies and result in a lack of a level regulatory playing field (Lockhart 2015; Sullivan and Hannis 2015). </w:t>
      </w:r>
    </w:p>
    <w:p w14:paraId="61920C43" w14:textId="7B191362" w:rsidR="002543A9" w:rsidRDefault="00B05C55" w:rsidP="00024324">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From 2020 to 2021 zu Ermgassen </w:t>
      </w:r>
      <w:r w:rsidRPr="00462C0B">
        <w:rPr>
          <w:rFonts w:ascii="Times New Roman" w:hAnsi="Times New Roman" w:cs="Times New Roman"/>
          <w:i/>
          <w:iCs/>
          <w:sz w:val="24"/>
          <w:szCs w:val="24"/>
        </w:rPr>
        <w:t xml:space="preserve">et al </w:t>
      </w:r>
      <w:r w:rsidRPr="00462C0B">
        <w:rPr>
          <w:rFonts w:ascii="Times New Roman" w:hAnsi="Times New Roman" w:cs="Times New Roman"/>
          <w:sz w:val="24"/>
          <w:szCs w:val="24"/>
        </w:rPr>
        <w:t>(2021) developed a database on biodiversity net gain assessments that accompanied planning applications in England. Their work shows the continued preference for developers to deliver their own compensation</w:t>
      </w:r>
      <w:r w:rsidR="007E1A02" w:rsidRPr="00462C0B">
        <w:rPr>
          <w:rFonts w:ascii="Times New Roman" w:hAnsi="Times New Roman" w:cs="Times New Roman"/>
          <w:sz w:val="24"/>
          <w:szCs w:val="24"/>
        </w:rPr>
        <w:t xml:space="preserve"> and t</w:t>
      </w:r>
      <w:r w:rsidRPr="00462C0B">
        <w:rPr>
          <w:rFonts w:ascii="Times New Roman" w:hAnsi="Times New Roman" w:cs="Times New Roman"/>
          <w:sz w:val="24"/>
          <w:szCs w:val="24"/>
        </w:rPr>
        <w:t xml:space="preserve">here is little incentive for developers to choose to purchase offsets from elsewhere. </w:t>
      </w:r>
      <w:r w:rsidR="002543A9">
        <w:rPr>
          <w:rFonts w:ascii="Times New Roman" w:hAnsi="Times New Roman" w:cs="Times New Roman"/>
          <w:sz w:val="24"/>
          <w:szCs w:val="24"/>
        </w:rPr>
        <w:t xml:space="preserve">It should be noted that this work was undertaken for early </w:t>
      </w:r>
      <w:r w:rsidR="00847DFF">
        <w:rPr>
          <w:rFonts w:ascii="Times New Roman" w:hAnsi="Times New Roman" w:cs="Times New Roman"/>
          <w:sz w:val="24"/>
          <w:szCs w:val="24"/>
        </w:rPr>
        <w:t>adopters</w:t>
      </w:r>
      <w:r w:rsidR="002543A9">
        <w:rPr>
          <w:rFonts w:ascii="Times New Roman" w:hAnsi="Times New Roman" w:cs="Times New Roman"/>
          <w:sz w:val="24"/>
          <w:szCs w:val="24"/>
        </w:rPr>
        <w:t xml:space="preserve"> </w:t>
      </w:r>
      <w:r w:rsidR="00847DFF">
        <w:rPr>
          <w:rFonts w:ascii="Times New Roman" w:hAnsi="Times New Roman" w:cs="Times New Roman"/>
          <w:sz w:val="24"/>
          <w:szCs w:val="24"/>
        </w:rPr>
        <w:t>and policy reports have suggested that off-site offsets could generate a greater proportion of credits in the future</w:t>
      </w:r>
      <w:r w:rsidR="00E9356C">
        <w:rPr>
          <w:rFonts w:ascii="Times New Roman" w:hAnsi="Times New Roman" w:cs="Times New Roman"/>
          <w:sz w:val="24"/>
          <w:szCs w:val="24"/>
        </w:rPr>
        <w:t xml:space="preserve"> (</w:t>
      </w:r>
      <w:proofErr w:type="spellStart"/>
      <w:r w:rsidR="00E9356C">
        <w:rPr>
          <w:rFonts w:ascii="Times New Roman" w:hAnsi="Times New Roman" w:cs="Times New Roman"/>
          <w:sz w:val="24"/>
          <w:szCs w:val="24"/>
        </w:rPr>
        <w:t>eftec</w:t>
      </w:r>
      <w:proofErr w:type="spellEnd"/>
      <w:r w:rsidR="00E9356C">
        <w:rPr>
          <w:rFonts w:ascii="Times New Roman" w:hAnsi="Times New Roman" w:cs="Times New Roman"/>
          <w:sz w:val="24"/>
          <w:szCs w:val="24"/>
        </w:rPr>
        <w:t xml:space="preserve"> 2021). </w:t>
      </w:r>
    </w:p>
    <w:p w14:paraId="4AE58B1A" w14:textId="70BA2335" w:rsidR="00B05C55" w:rsidRPr="00462C0B" w:rsidRDefault="00024324" w:rsidP="00024324">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A key concern is that </w:t>
      </w:r>
      <w:r w:rsidR="00B05C55" w:rsidRPr="00462C0B">
        <w:rPr>
          <w:rFonts w:ascii="Times New Roman" w:hAnsi="Times New Roman" w:cs="Times New Roman"/>
          <w:sz w:val="24"/>
          <w:szCs w:val="24"/>
        </w:rPr>
        <w:t>local authorities do not have the capacity to ensure the delivery of developer</w:t>
      </w:r>
      <w:r w:rsidRPr="00462C0B">
        <w:rPr>
          <w:rFonts w:ascii="Times New Roman" w:hAnsi="Times New Roman" w:cs="Times New Roman"/>
          <w:sz w:val="24"/>
          <w:szCs w:val="24"/>
        </w:rPr>
        <w:t xml:space="preserve">-led </w:t>
      </w:r>
      <w:r w:rsidR="00B05C55" w:rsidRPr="00462C0B">
        <w:rPr>
          <w:rFonts w:ascii="Times New Roman" w:hAnsi="Times New Roman" w:cs="Times New Roman"/>
          <w:sz w:val="24"/>
          <w:szCs w:val="24"/>
        </w:rPr>
        <w:t>compensation through regular monitoring</w:t>
      </w:r>
      <w:r w:rsidRPr="00462C0B">
        <w:rPr>
          <w:rFonts w:ascii="Times New Roman" w:hAnsi="Times New Roman" w:cs="Times New Roman"/>
          <w:sz w:val="24"/>
          <w:szCs w:val="24"/>
        </w:rPr>
        <w:t xml:space="preserve"> and enforcement activities. </w:t>
      </w:r>
      <w:r w:rsidR="00B05C55" w:rsidRPr="00462C0B">
        <w:rPr>
          <w:rFonts w:ascii="Times New Roman" w:hAnsi="Times New Roman" w:cs="Times New Roman"/>
          <w:sz w:val="24"/>
          <w:szCs w:val="24"/>
        </w:rPr>
        <w:t>A similar story is found within the French application of the mitigation hierarchy (</w:t>
      </w:r>
      <w:proofErr w:type="spellStart"/>
      <w:r w:rsidR="00B05C55" w:rsidRPr="00462C0B">
        <w:rPr>
          <w:rFonts w:ascii="Times New Roman" w:hAnsi="Times New Roman" w:cs="Times New Roman"/>
          <w:sz w:val="24"/>
          <w:szCs w:val="24"/>
        </w:rPr>
        <w:t>Gelot</w:t>
      </w:r>
      <w:proofErr w:type="spellEnd"/>
      <w:r w:rsidR="00B05C55" w:rsidRPr="00462C0B">
        <w:rPr>
          <w:rFonts w:ascii="Times New Roman" w:hAnsi="Times New Roman" w:cs="Times New Roman"/>
          <w:sz w:val="24"/>
          <w:szCs w:val="24"/>
        </w:rPr>
        <w:t xml:space="preserve"> and Bigard 2021). Analysing 2588 development projects, the authors examined </w:t>
      </w:r>
      <w:proofErr w:type="spellStart"/>
      <w:r w:rsidR="00B05C55" w:rsidRPr="00462C0B">
        <w:rPr>
          <w:rFonts w:ascii="Times New Roman" w:hAnsi="Times New Roman" w:cs="Times New Roman"/>
          <w:sz w:val="24"/>
          <w:szCs w:val="24"/>
        </w:rPr>
        <w:t>i</w:t>
      </w:r>
      <w:proofErr w:type="spellEnd"/>
      <w:r w:rsidR="00B05C55" w:rsidRPr="00462C0B">
        <w:rPr>
          <w:rFonts w:ascii="Times New Roman" w:hAnsi="Times New Roman" w:cs="Times New Roman"/>
          <w:sz w:val="24"/>
          <w:szCs w:val="24"/>
        </w:rPr>
        <w:t>) the characteristics of prescribed mitigation measures in terms of their size, number, target area and layout; ii) their actual implementation in the field, through a spatial analysis. Results showed that many developers ignore opportunities to avoid impacts and skip to reduction and offsetting. As with the UK case, there is a lack of funding for regulatory agencies to adequately monitor and enforce compensatory mitigation</w:t>
      </w:r>
      <w:r w:rsidR="00E24F30">
        <w:rPr>
          <w:rFonts w:ascii="Times New Roman" w:hAnsi="Times New Roman" w:cs="Times New Roman"/>
          <w:sz w:val="24"/>
          <w:szCs w:val="24"/>
        </w:rPr>
        <w:t>.</w:t>
      </w:r>
      <w:r w:rsidR="00B05C55" w:rsidRPr="00462C0B">
        <w:rPr>
          <w:rFonts w:ascii="Times New Roman" w:hAnsi="Times New Roman" w:cs="Times New Roman"/>
          <w:sz w:val="24"/>
          <w:szCs w:val="24"/>
        </w:rPr>
        <w:t xml:space="preserve"> </w:t>
      </w:r>
      <w:r w:rsidR="00E24F30">
        <w:rPr>
          <w:rFonts w:ascii="Times New Roman" w:hAnsi="Times New Roman" w:cs="Times New Roman"/>
          <w:sz w:val="24"/>
          <w:szCs w:val="24"/>
        </w:rPr>
        <w:t>T</w:t>
      </w:r>
      <w:r w:rsidR="00B05C55" w:rsidRPr="00462C0B">
        <w:rPr>
          <w:rFonts w:ascii="Times New Roman" w:hAnsi="Times New Roman" w:cs="Times New Roman"/>
          <w:sz w:val="24"/>
          <w:szCs w:val="24"/>
        </w:rPr>
        <w:t xml:space="preserve">he authors question whether the current policy is achieving </w:t>
      </w:r>
      <w:r w:rsidR="00C26F1E" w:rsidRPr="00462C0B">
        <w:rPr>
          <w:rFonts w:ascii="Times New Roman" w:hAnsi="Times New Roman" w:cs="Times New Roman"/>
          <w:sz w:val="24"/>
          <w:szCs w:val="24"/>
        </w:rPr>
        <w:t xml:space="preserve">no net loss. </w:t>
      </w:r>
    </w:p>
    <w:p w14:paraId="2ABD7615" w14:textId="48116C4A" w:rsidR="009D2E35" w:rsidRPr="00462C0B" w:rsidRDefault="00C26F1E" w:rsidP="00C26F1E">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In contrast, offsetting using wetland mitigation banking is compulsory in the USA. </w:t>
      </w:r>
      <w:r w:rsidR="009D2E35" w:rsidRPr="00462C0B">
        <w:rPr>
          <w:rFonts w:ascii="Times New Roman" w:hAnsi="Times New Roman" w:cs="Times New Roman"/>
          <w:sz w:val="24"/>
          <w:szCs w:val="24"/>
        </w:rPr>
        <w:t xml:space="preserve">A significant change </w:t>
      </w:r>
      <w:r w:rsidRPr="00462C0B">
        <w:rPr>
          <w:rFonts w:ascii="Times New Roman" w:hAnsi="Times New Roman" w:cs="Times New Roman"/>
          <w:sz w:val="24"/>
          <w:szCs w:val="24"/>
        </w:rPr>
        <w:t xml:space="preserve">in the </w:t>
      </w:r>
      <w:r w:rsidR="009D2E35" w:rsidRPr="00462C0B">
        <w:rPr>
          <w:rFonts w:ascii="Times New Roman" w:hAnsi="Times New Roman" w:cs="Times New Roman"/>
          <w:sz w:val="24"/>
          <w:szCs w:val="24"/>
        </w:rPr>
        <w:t xml:space="preserve">wetland mitigation </w:t>
      </w:r>
      <w:r w:rsidR="000E4A56" w:rsidRPr="00462C0B">
        <w:rPr>
          <w:rFonts w:ascii="Times New Roman" w:hAnsi="Times New Roman" w:cs="Times New Roman"/>
          <w:sz w:val="24"/>
          <w:szCs w:val="24"/>
        </w:rPr>
        <w:t>banking market</w:t>
      </w:r>
      <w:r w:rsidR="009D2E35" w:rsidRPr="00462C0B">
        <w:rPr>
          <w:rFonts w:ascii="Times New Roman" w:hAnsi="Times New Roman" w:cs="Times New Roman"/>
          <w:sz w:val="24"/>
          <w:szCs w:val="24"/>
        </w:rPr>
        <w:t xml:space="preserve"> was the introduction of the 2008 Mitigation Rule</w:t>
      </w:r>
      <w:r w:rsidR="000E4A56" w:rsidRPr="00462C0B">
        <w:rPr>
          <w:rFonts w:ascii="Times New Roman" w:hAnsi="Times New Roman" w:cs="Times New Roman"/>
          <w:sz w:val="24"/>
          <w:szCs w:val="24"/>
        </w:rPr>
        <w:t xml:space="preserve">. The rule established a clear preference for off-site compensatory mitigation over on-site mitigation and compensatory mitigation in advance of permitted impacts by commercial mitigation banks (Stephenson and Tutko 2018). The aim of this rule was to reduce mitigation outcome uncertainty by encouraging the development of banks over alternative mitigation options, and thus reduce the financial risk </w:t>
      </w:r>
      <w:r w:rsidR="00FF7F62" w:rsidRPr="00462C0B">
        <w:rPr>
          <w:rFonts w:ascii="Times New Roman" w:hAnsi="Times New Roman" w:cs="Times New Roman"/>
          <w:sz w:val="24"/>
          <w:szCs w:val="24"/>
        </w:rPr>
        <w:t>to</w:t>
      </w:r>
      <w:r w:rsidR="000E4A56" w:rsidRPr="00462C0B">
        <w:rPr>
          <w:rFonts w:ascii="Times New Roman" w:hAnsi="Times New Roman" w:cs="Times New Roman"/>
          <w:sz w:val="24"/>
          <w:szCs w:val="24"/>
        </w:rPr>
        <w:t xml:space="preserve"> </w:t>
      </w:r>
      <w:r w:rsidR="00FF7F62" w:rsidRPr="00462C0B">
        <w:rPr>
          <w:rFonts w:ascii="Times New Roman" w:hAnsi="Times New Roman" w:cs="Times New Roman"/>
          <w:sz w:val="24"/>
          <w:szCs w:val="24"/>
        </w:rPr>
        <w:t xml:space="preserve">offset </w:t>
      </w:r>
      <w:r w:rsidR="000E4A56" w:rsidRPr="00462C0B">
        <w:rPr>
          <w:rFonts w:ascii="Times New Roman" w:hAnsi="Times New Roman" w:cs="Times New Roman"/>
          <w:sz w:val="24"/>
          <w:szCs w:val="24"/>
        </w:rPr>
        <w:t xml:space="preserve">providers (BenDor and Riggsbee 2011). </w:t>
      </w:r>
      <w:r w:rsidR="009D2E35" w:rsidRPr="00462C0B">
        <w:rPr>
          <w:rFonts w:ascii="Times New Roman" w:hAnsi="Times New Roman" w:cs="Times New Roman"/>
          <w:sz w:val="24"/>
          <w:szCs w:val="24"/>
        </w:rPr>
        <w:t xml:space="preserve">This resulted in a significant increase in the purchase of credits and demonstrates how a regulatory change placing emphasis on mitigation banking above other compensatory measures can have a significant positive benefit on market activity (Figure 2). </w:t>
      </w:r>
    </w:p>
    <w:p w14:paraId="4167CF02" w14:textId="77777777" w:rsidR="009D2E35" w:rsidRPr="00462C0B" w:rsidRDefault="009D2E35" w:rsidP="009D2E35">
      <w:pPr>
        <w:spacing w:line="360" w:lineRule="auto"/>
        <w:rPr>
          <w:rFonts w:ascii="Times New Roman" w:hAnsi="Times New Roman" w:cs="Times New Roman"/>
          <w:sz w:val="24"/>
          <w:szCs w:val="24"/>
        </w:rPr>
      </w:pPr>
      <w:r w:rsidRPr="00462C0B">
        <w:rPr>
          <w:rFonts w:ascii="Times New Roman" w:hAnsi="Times New Roman" w:cs="Times New Roman"/>
          <w:noProof/>
          <w:lang w:eastAsia="en-GB"/>
        </w:rPr>
        <w:lastRenderedPageBreak/>
        <w:drawing>
          <wp:inline distT="0" distB="0" distL="0" distR="0" wp14:anchorId="50553332" wp14:editId="6F99D7CF">
            <wp:extent cx="5731510" cy="3454089"/>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7D4F3A" w14:textId="1329BB30" w:rsidR="009D2E35" w:rsidRPr="003E3C57" w:rsidRDefault="009D2E35" w:rsidP="003E3C57">
      <w:pPr>
        <w:spacing w:line="360" w:lineRule="auto"/>
        <w:rPr>
          <w:rFonts w:ascii="Times New Roman" w:hAnsi="Times New Roman" w:cs="Times New Roman"/>
          <w:sz w:val="20"/>
          <w:szCs w:val="20"/>
        </w:rPr>
      </w:pPr>
      <w:r w:rsidRPr="003E3C57">
        <w:rPr>
          <w:rFonts w:ascii="Times New Roman" w:hAnsi="Times New Roman" w:cs="Times New Roman"/>
          <w:b/>
          <w:bCs/>
          <w:sz w:val="20"/>
          <w:szCs w:val="20"/>
        </w:rPr>
        <w:t>Figure 2</w:t>
      </w:r>
      <w:r w:rsidRPr="003E3C57">
        <w:rPr>
          <w:rFonts w:ascii="Times New Roman" w:hAnsi="Times New Roman" w:cs="Times New Roman"/>
          <w:sz w:val="20"/>
          <w:szCs w:val="20"/>
        </w:rPr>
        <w:t xml:space="preserve">: Declining use of on and offsite mitigation permittee responsible mitigation (3155 in 2008 to 1437 in 2014) and increasing use of mitigation bank credits (1602 in 2008 to a high of 2113 in 2012 and 2006 in 2014) following implementation of the 2008 Mitigation Rule. Data adapted from Pages 77 – 81 of the </w:t>
      </w:r>
      <w:r w:rsidR="003E3C57" w:rsidRPr="003E3C57">
        <w:rPr>
          <w:rFonts w:ascii="Times New Roman" w:hAnsi="Times New Roman" w:cs="Times New Roman"/>
          <w:sz w:val="20"/>
          <w:szCs w:val="20"/>
        </w:rPr>
        <w:t>Institute for Water Resources report “The Mitigation Rule Retrospective: A Review of the 2008 Regulations Governing Compensatory Mitigation for Losses of Aquatic Resources</w:t>
      </w:r>
      <w:r w:rsidR="003E3C57">
        <w:rPr>
          <w:rStyle w:val="FootnoteReference"/>
          <w:rFonts w:ascii="Times New Roman" w:hAnsi="Times New Roman" w:cs="Times New Roman"/>
          <w:sz w:val="20"/>
          <w:szCs w:val="20"/>
        </w:rPr>
        <w:footnoteReference w:id="2"/>
      </w:r>
      <w:r w:rsidR="003E3C57">
        <w:rPr>
          <w:rFonts w:ascii="Times New Roman" w:hAnsi="Times New Roman" w:cs="Times New Roman"/>
          <w:sz w:val="20"/>
          <w:szCs w:val="20"/>
        </w:rPr>
        <w:t>.</w:t>
      </w:r>
      <w:r w:rsidR="003E3C57" w:rsidRPr="003E3C57">
        <w:rPr>
          <w:rFonts w:ascii="Times New Roman" w:hAnsi="Times New Roman" w:cs="Times New Roman"/>
          <w:sz w:val="20"/>
          <w:szCs w:val="20"/>
        </w:rPr>
        <w:t xml:space="preserve">” </w:t>
      </w:r>
    </w:p>
    <w:p w14:paraId="2843F719" w14:textId="33720FD6" w:rsidR="00117FD6" w:rsidRDefault="00957CA1" w:rsidP="00465D90">
      <w:pPr>
        <w:spacing w:line="360" w:lineRule="auto"/>
        <w:rPr>
          <w:rFonts w:ascii="Times New Roman" w:hAnsi="Times New Roman" w:cs="Times New Roman"/>
          <w:sz w:val="24"/>
          <w:szCs w:val="24"/>
        </w:rPr>
      </w:pPr>
      <w:r w:rsidRPr="00462C0B">
        <w:rPr>
          <w:rFonts w:ascii="Times New Roman" w:hAnsi="Times New Roman" w:cs="Times New Roman"/>
          <w:sz w:val="24"/>
          <w:szCs w:val="24"/>
        </w:rPr>
        <w:t>There is however a recognition that developers may not always be able secure credits due to a lack of investment incentive for mitigation bankers. However, rather than undertaking their own compensatory on-site migration</w:t>
      </w:r>
      <w:r w:rsidR="00AD7EFA" w:rsidRPr="00462C0B">
        <w:rPr>
          <w:rFonts w:ascii="Times New Roman" w:hAnsi="Times New Roman" w:cs="Times New Roman"/>
          <w:sz w:val="24"/>
          <w:szCs w:val="24"/>
        </w:rPr>
        <w:t>,</w:t>
      </w:r>
      <w:r w:rsidRPr="00462C0B">
        <w:rPr>
          <w:rFonts w:ascii="Times New Roman" w:hAnsi="Times New Roman" w:cs="Times New Roman"/>
          <w:sz w:val="24"/>
          <w:szCs w:val="24"/>
        </w:rPr>
        <w:t xml:space="preserve"> in</w:t>
      </w:r>
      <w:r w:rsidR="00A715F4" w:rsidRPr="00462C0B">
        <w:rPr>
          <w:rFonts w:ascii="Times New Roman" w:hAnsi="Times New Roman" w:cs="Times New Roman"/>
          <w:sz w:val="24"/>
          <w:szCs w:val="24"/>
        </w:rPr>
        <w:t>-</w:t>
      </w:r>
      <w:r w:rsidRPr="00462C0B">
        <w:rPr>
          <w:rFonts w:ascii="Times New Roman" w:hAnsi="Times New Roman" w:cs="Times New Roman"/>
          <w:sz w:val="24"/>
          <w:szCs w:val="24"/>
        </w:rPr>
        <w:t xml:space="preserve">lieu fee programs serve as a secondary compensatory mitigation option. ILF programs </w:t>
      </w:r>
      <w:r w:rsidR="000A4810" w:rsidRPr="00462C0B">
        <w:rPr>
          <w:rFonts w:ascii="Times New Roman" w:hAnsi="Times New Roman" w:cs="Times New Roman"/>
          <w:sz w:val="24"/>
          <w:szCs w:val="24"/>
        </w:rPr>
        <w:t>are</w:t>
      </w:r>
      <w:r w:rsidR="00AD7EFA" w:rsidRPr="00462C0B">
        <w:rPr>
          <w:rFonts w:ascii="Times New Roman" w:hAnsi="Times New Roman" w:cs="Times New Roman"/>
          <w:sz w:val="24"/>
          <w:szCs w:val="24"/>
        </w:rPr>
        <w:t xml:space="preserve"> essentially a tax on new developments, which allow developers to pay</w:t>
      </w:r>
      <w:r w:rsidRPr="00462C0B">
        <w:rPr>
          <w:rFonts w:ascii="Times New Roman" w:hAnsi="Times New Roman" w:cs="Times New Roman"/>
          <w:sz w:val="24"/>
          <w:szCs w:val="24"/>
        </w:rPr>
        <w:t xml:space="preserve"> fees for permitted impacts</w:t>
      </w:r>
      <w:r w:rsidR="00CF5F61" w:rsidRPr="00462C0B">
        <w:rPr>
          <w:rFonts w:ascii="Times New Roman" w:hAnsi="Times New Roman" w:cs="Times New Roman"/>
          <w:sz w:val="24"/>
          <w:szCs w:val="24"/>
        </w:rPr>
        <w:t>. An external body can then</w:t>
      </w:r>
      <w:r w:rsidRPr="00462C0B">
        <w:rPr>
          <w:rFonts w:ascii="Times New Roman" w:hAnsi="Times New Roman" w:cs="Times New Roman"/>
          <w:sz w:val="24"/>
          <w:szCs w:val="24"/>
        </w:rPr>
        <w:t xml:space="preserve"> construct compensatory mitigation projects after sufficient fee revenue has been collected. This measure has been shown to be appropriate in areas where developments are too small or infrequent to stimulate adequate private investment in mitigation banks and to date evidence from the USA suggests that this programme does not compete with commercial banking (Stephenson and Tutko 2018). </w:t>
      </w:r>
    </w:p>
    <w:p w14:paraId="3808B9DC" w14:textId="690FD44F" w:rsidR="00351743" w:rsidRDefault="00DA43DF" w:rsidP="003E3C57">
      <w:pPr>
        <w:spacing w:line="360" w:lineRule="auto"/>
        <w:rPr>
          <w:rFonts w:asciiTheme="majorBidi" w:hAnsiTheme="majorBidi" w:cstheme="majorBidi"/>
          <w:sz w:val="24"/>
          <w:szCs w:val="24"/>
        </w:rPr>
      </w:pPr>
      <w:r w:rsidRPr="00BC7691">
        <w:rPr>
          <w:rFonts w:asciiTheme="majorBidi" w:hAnsiTheme="majorBidi" w:cstheme="majorBidi"/>
          <w:sz w:val="24"/>
          <w:szCs w:val="24"/>
        </w:rPr>
        <w:lastRenderedPageBreak/>
        <w:t xml:space="preserve">In New South Wales, Australia, the original </w:t>
      </w:r>
      <w:proofErr w:type="spellStart"/>
      <w:r w:rsidRPr="00BC7691">
        <w:rPr>
          <w:rFonts w:asciiTheme="majorBidi" w:hAnsiTheme="majorBidi" w:cstheme="majorBidi"/>
          <w:sz w:val="24"/>
          <w:szCs w:val="24"/>
        </w:rPr>
        <w:t>BioBank</w:t>
      </w:r>
      <w:r w:rsidR="00BC7691" w:rsidRPr="00BC7691">
        <w:rPr>
          <w:rFonts w:asciiTheme="majorBidi" w:hAnsiTheme="majorBidi" w:cstheme="majorBidi"/>
          <w:sz w:val="24"/>
          <w:szCs w:val="24"/>
        </w:rPr>
        <w:t>ing</w:t>
      </w:r>
      <w:proofErr w:type="spellEnd"/>
      <w:r w:rsidRPr="00BC7691">
        <w:rPr>
          <w:rFonts w:asciiTheme="majorBidi" w:hAnsiTheme="majorBidi" w:cstheme="majorBidi"/>
          <w:sz w:val="24"/>
          <w:szCs w:val="24"/>
        </w:rPr>
        <w:t xml:space="preserve"> scheme was </w:t>
      </w:r>
      <w:proofErr w:type="gramStart"/>
      <w:r w:rsidRPr="00BC7691">
        <w:rPr>
          <w:rFonts w:asciiTheme="majorBidi" w:hAnsiTheme="majorBidi" w:cstheme="majorBidi"/>
          <w:sz w:val="24"/>
          <w:szCs w:val="24"/>
        </w:rPr>
        <w:t>voluntary</w:t>
      </w:r>
      <w:proofErr w:type="gramEnd"/>
      <w:r w:rsidRPr="00BC7691">
        <w:rPr>
          <w:rFonts w:asciiTheme="majorBidi" w:hAnsiTheme="majorBidi" w:cstheme="majorBidi"/>
          <w:sz w:val="24"/>
          <w:szCs w:val="24"/>
        </w:rPr>
        <w:t xml:space="preserve"> </w:t>
      </w:r>
      <w:r w:rsidR="00BC7691" w:rsidRPr="00BC7691">
        <w:rPr>
          <w:rFonts w:asciiTheme="majorBidi" w:hAnsiTheme="majorBidi" w:cstheme="majorBidi"/>
          <w:sz w:val="24"/>
          <w:szCs w:val="24"/>
        </w:rPr>
        <w:t xml:space="preserve">and developers had alternative compensatory mechanisms they could pursue. </w:t>
      </w:r>
      <w:r w:rsidR="00780DA5" w:rsidRPr="00BC7691">
        <w:rPr>
          <w:rFonts w:asciiTheme="majorBidi" w:hAnsiTheme="majorBidi" w:cstheme="majorBidi"/>
          <w:sz w:val="24"/>
          <w:szCs w:val="24"/>
        </w:rPr>
        <w:t xml:space="preserve">Whilst 53 </w:t>
      </w:r>
      <w:proofErr w:type="spellStart"/>
      <w:r w:rsidR="00780DA5" w:rsidRPr="00BC7691">
        <w:rPr>
          <w:rFonts w:asciiTheme="majorBidi" w:hAnsiTheme="majorBidi" w:cstheme="majorBidi"/>
          <w:sz w:val="24"/>
          <w:szCs w:val="24"/>
        </w:rPr>
        <w:t>BioBanking</w:t>
      </w:r>
      <w:proofErr w:type="spellEnd"/>
      <w:r w:rsidR="00780DA5" w:rsidRPr="00BC7691">
        <w:rPr>
          <w:rFonts w:asciiTheme="majorBidi" w:hAnsiTheme="majorBidi" w:cstheme="majorBidi"/>
          <w:sz w:val="24"/>
          <w:szCs w:val="24"/>
        </w:rPr>
        <w:t xml:space="preserve"> agreements were secured (up to May 2016) many believe the scheme was </w:t>
      </w:r>
      <w:r w:rsidR="003E3C57">
        <w:rPr>
          <w:rFonts w:asciiTheme="majorBidi" w:hAnsiTheme="majorBidi" w:cstheme="majorBidi"/>
          <w:sz w:val="24"/>
          <w:szCs w:val="24"/>
        </w:rPr>
        <w:t xml:space="preserve">not </w:t>
      </w:r>
      <w:r w:rsidR="00780DA5" w:rsidRPr="00BC7691">
        <w:rPr>
          <w:rFonts w:asciiTheme="majorBidi" w:hAnsiTheme="majorBidi" w:cstheme="majorBidi"/>
          <w:sz w:val="24"/>
          <w:szCs w:val="24"/>
        </w:rPr>
        <w:t xml:space="preserve">successful as expected: the market had a limited offset supply which is limiting transactions and failing to produce the cost-savings initially anticipated. Many developers feel the strict offset requirements are a barrier to offsetting and instead choose alternative mitigation options.  In response there were calls to make the scheme mandatory rather than voluntary to encourage offset creation (State of NSW and Office of Environment and Heritage 2014). </w:t>
      </w:r>
      <w:r w:rsidR="00780DA5" w:rsidRPr="00B93C3B">
        <w:rPr>
          <w:rFonts w:asciiTheme="majorBidi" w:hAnsiTheme="majorBidi" w:cstheme="majorBidi"/>
          <w:sz w:val="24"/>
          <w:szCs w:val="24"/>
        </w:rPr>
        <w:t xml:space="preserve">As a result, the </w:t>
      </w:r>
      <w:proofErr w:type="spellStart"/>
      <w:r w:rsidR="00780DA5" w:rsidRPr="00B93C3B">
        <w:rPr>
          <w:rFonts w:asciiTheme="majorBidi" w:hAnsiTheme="majorBidi" w:cstheme="majorBidi"/>
          <w:sz w:val="24"/>
          <w:szCs w:val="24"/>
        </w:rPr>
        <w:t>BioBanking</w:t>
      </w:r>
      <w:proofErr w:type="spellEnd"/>
      <w:r w:rsidR="00780DA5" w:rsidRPr="00B93C3B">
        <w:rPr>
          <w:rFonts w:asciiTheme="majorBidi" w:hAnsiTheme="majorBidi" w:cstheme="majorBidi"/>
          <w:sz w:val="24"/>
          <w:szCs w:val="24"/>
        </w:rPr>
        <w:t xml:space="preserve"> Scheme was replaced by the Biodiversity Offsets Scheme (BOS) under the Biodiversity Conservation Act 2016 (BC Act) in 2017. Crucially, the Biodiversity Offsets Scheme became the only pathway for most developments to offset their impacts, and impacts are now assessed according to one consistent methodology, the Biodiversity Assessment Method (</w:t>
      </w:r>
      <w:proofErr w:type="spellStart"/>
      <w:r w:rsidR="00780DA5" w:rsidRPr="00B93C3B">
        <w:rPr>
          <w:rFonts w:asciiTheme="majorBidi" w:hAnsiTheme="majorBidi" w:cstheme="majorBidi"/>
          <w:sz w:val="24"/>
          <w:szCs w:val="24"/>
        </w:rPr>
        <w:t>Ruoso</w:t>
      </w:r>
      <w:proofErr w:type="spellEnd"/>
      <w:r w:rsidR="00780DA5" w:rsidRPr="00B93C3B">
        <w:rPr>
          <w:rFonts w:asciiTheme="majorBidi" w:hAnsiTheme="majorBidi" w:cstheme="majorBidi"/>
          <w:sz w:val="24"/>
          <w:szCs w:val="24"/>
        </w:rPr>
        <w:t xml:space="preserve"> and Plant 2021). This has essentially created a mandatory market for biodiversity offset credits. </w:t>
      </w:r>
    </w:p>
    <w:p w14:paraId="28EFCC6D" w14:textId="77777777" w:rsidR="002D2B6E" w:rsidRPr="00462C0B" w:rsidRDefault="002D2B6E" w:rsidP="002D2B6E">
      <w:pPr>
        <w:pStyle w:val="Heading2"/>
      </w:pPr>
      <w:r w:rsidRPr="00462C0B">
        <w:t>Contract design: monitoring and enforcement</w:t>
      </w:r>
    </w:p>
    <w:p w14:paraId="4D8E54FB" w14:textId="77777777" w:rsidR="00BF14F7" w:rsidRPr="00462C0B" w:rsidRDefault="002D2B6E" w:rsidP="002D2B6E">
      <w:pPr>
        <w:spacing w:line="360" w:lineRule="auto"/>
        <w:rPr>
          <w:rFonts w:ascii="Times New Roman" w:hAnsi="Times New Roman" w:cs="Times New Roman"/>
          <w:color w:val="000000" w:themeColor="text1"/>
          <w:sz w:val="24"/>
          <w:szCs w:val="24"/>
        </w:rPr>
      </w:pPr>
      <w:r w:rsidRPr="00462C0B">
        <w:rPr>
          <w:rFonts w:ascii="Times New Roman" w:hAnsi="Times New Roman" w:cs="Times New Roman"/>
          <w:color w:val="000000" w:themeColor="text1"/>
          <w:sz w:val="24"/>
          <w:szCs w:val="24"/>
        </w:rPr>
        <w:t xml:space="preserve">A key practical step in the implementation of offsetting is the contract design for the developer and the offset provider. The contract includes the explicit definition of the credits and number of credits required and the timescale for which this should be secured. The role of the regulatory agency is to ensure both parties comply with this contract through follow up monitoring and enforcement. </w:t>
      </w:r>
    </w:p>
    <w:p w14:paraId="1282345D" w14:textId="76522187" w:rsidR="002D2B6E" w:rsidRPr="007543CB" w:rsidRDefault="002D2B6E" w:rsidP="002D2B6E">
      <w:pPr>
        <w:spacing w:line="360" w:lineRule="auto"/>
        <w:rPr>
          <w:rFonts w:ascii="Times New Roman" w:hAnsi="Times New Roman" w:cs="Times New Roman"/>
          <w:color w:val="000000" w:themeColor="text1"/>
          <w:sz w:val="24"/>
          <w:szCs w:val="24"/>
        </w:rPr>
      </w:pPr>
      <w:r w:rsidRPr="00462C0B">
        <w:rPr>
          <w:rFonts w:ascii="Times New Roman" w:hAnsi="Times New Roman" w:cs="Times New Roman"/>
          <w:color w:val="000000" w:themeColor="text1"/>
          <w:sz w:val="24"/>
          <w:szCs w:val="24"/>
        </w:rPr>
        <w:t>From a theoretical perspective</w:t>
      </w:r>
      <w:r w:rsidR="00BF14F7" w:rsidRPr="00462C0B">
        <w:rPr>
          <w:rFonts w:ascii="Times New Roman" w:hAnsi="Times New Roman" w:cs="Times New Roman"/>
          <w:color w:val="000000" w:themeColor="text1"/>
          <w:sz w:val="24"/>
          <w:szCs w:val="24"/>
        </w:rPr>
        <w:t>,</w:t>
      </w:r>
      <w:r w:rsidRPr="00462C0B">
        <w:rPr>
          <w:rFonts w:ascii="Times New Roman" w:hAnsi="Times New Roman" w:cs="Times New Roman"/>
          <w:color w:val="000000" w:themeColor="text1"/>
          <w:sz w:val="24"/>
          <w:szCs w:val="24"/>
        </w:rPr>
        <w:t xml:space="preserve"> it could be argued that neither buyers nor sellers in the offset market are quality conscious, but both are price</w:t>
      </w:r>
      <w:r w:rsidR="00BF14F7" w:rsidRPr="00462C0B">
        <w:rPr>
          <w:rFonts w:ascii="Times New Roman" w:hAnsi="Times New Roman" w:cs="Times New Roman"/>
          <w:color w:val="000000" w:themeColor="text1"/>
          <w:sz w:val="24"/>
          <w:szCs w:val="24"/>
        </w:rPr>
        <w:t>-</w:t>
      </w:r>
      <w:r w:rsidRPr="00462C0B">
        <w:rPr>
          <w:rFonts w:ascii="Times New Roman" w:hAnsi="Times New Roman" w:cs="Times New Roman"/>
          <w:color w:val="000000" w:themeColor="text1"/>
          <w:sz w:val="24"/>
          <w:szCs w:val="24"/>
        </w:rPr>
        <w:t>conscious</w:t>
      </w:r>
      <w:r w:rsidR="00B5055C" w:rsidRPr="00462C0B">
        <w:rPr>
          <w:rFonts w:ascii="Times New Roman" w:hAnsi="Times New Roman" w:cs="Times New Roman"/>
          <w:color w:val="000000" w:themeColor="text1"/>
          <w:sz w:val="24"/>
          <w:szCs w:val="24"/>
        </w:rPr>
        <w:t xml:space="preserve">. As a result, </w:t>
      </w:r>
      <w:r w:rsidRPr="00462C0B">
        <w:rPr>
          <w:rFonts w:ascii="Times New Roman" w:hAnsi="Times New Roman" w:cs="Times New Roman"/>
          <w:color w:val="000000" w:themeColor="text1"/>
          <w:sz w:val="24"/>
          <w:szCs w:val="24"/>
        </w:rPr>
        <w:t>both parties have an incentive for quick and cheap mitigation</w:t>
      </w:r>
      <w:r w:rsidR="0062505C" w:rsidRPr="00462C0B">
        <w:rPr>
          <w:rFonts w:ascii="Times New Roman" w:hAnsi="Times New Roman" w:cs="Times New Roman"/>
          <w:color w:val="000000" w:themeColor="text1"/>
          <w:sz w:val="24"/>
          <w:szCs w:val="24"/>
        </w:rPr>
        <w:t>;</w:t>
      </w:r>
      <w:r w:rsidRPr="00462C0B">
        <w:rPr>
          <w:rFonts w:ascii="Times New Roman" w:hAnsi="Times New Roman" w:cs="Times New Roman"/>
          <w:color w:val="000000" w:themeColor="text1"/>
          <w:sz w:val="24"/>
          <w:szCs w:val="24"/>
        </w:rPr>
        <w:t xml:space="preserve"> as a result</w:t>
      </w:r>
      <w:r w:rsidR="0062505C" w:rsidRPr="00462C0B">
        <w:rPr>
          <w:rFonts w:ascii="Times New Roman" w:hAnsi="Times New Roman" w:cs="Times New Roman"/>
          <w:color w:val="000000" w:themeColor="text1"/>
          <w:sz w:val="24"/>
          <w:szCs w:val="24"/>
        </w:rPr>
        <w:t>,</w:t>
      </w:r>
      <w:r w:rsidRPr="00462C0B">
        <w:rPr>
          <w:rFonts w:ascii="Times New Roman" w:hAnsi="Times New Roman" w:cs="Times New Roman"/>
          <w:color w:val="000000" w:themeColor="text1"/>
          <w:sz w:val="24"/>
          <w:szCs w:val="24"/>
        </w:rPr>
        <w:t xml:space="preserve"> </w:t>
      </w:r>
      <w:r w:rsidR="0062505C" w:rsidRPr="00462C0B">
        <w:rPr>
          <w:rFonts w:ascii="Times New Roman" w:hAnsi="Times New Roman" w:cs="Times New Roman"/>
          <w:color w:val="000000" w:themeColor="text1"/>
          <w:sz w:val="24"/>
          <w:szCs w:val="24"/>
        </w:rPr>
        <w:t xml:space="preserve">offset </w:t>
      </w:r>
      <w:r w:rsidRPr="00462C0B">
        <w:rPr>
          <w:rFonts w:ascii="Times New Roman" w:hAnsi="Times New Roman" w:cs="Times New Roman"/>
          <w:color w:val="000000" w:themeColor="text1"/>
          <w:sz w:val="24"/>
          <w:szCs w:val="24"/>
        </w:rPr>
        <w:t xml:space="preserve">regulators need to monitor schemes to ensure compliance (Hallwood 2007; </w:t>
      </w:r>
      <w:proofErr w:type="spellStart"/>
      <w:r w:rsidRPr="00462C0B">
        <w:rPr>
          <w:rFonts w:ascii="Times New Roman" w:hAnsi="Times New Roman" w:cs="Times New Roman"/>
          <w:color w:val="000000" w:themeColor="text1"/>
          <w:sz w:val="24"/>
          <w:szCs w:val="24"/>
        </w:rPr>
        <w:t>Wainger</w:t>
      </w:r>
      <w:proofErr w:type="spellEnd"/>
      <w:r w:rsidRPr="00462C0B">
        <w:rPr>
          <w:rFonts w:ascii="Times New Roman" w:hAnsi="Times New Roman" w:cs="Times New Roman"/>
          <w:color w:val="000000" w:themeColor="text1"/>
          <w:sz w:val="24"/>
          <w:szCs w:val="24"/>
        </w:rPr>
        <w:t xml:space="preserve"> </w:t>
      </w:r>
      <w:r w:rsidRPr="00462C0B">
        <w:rPr>
          <w:rFonts w:ascii="Times New Roman" w:hAnsi="Times New Roman" w:cs="Times New Roman"/>
          <w:i/>
          <w:iCs/>
          <w:color w:val="000000" w:themeColor="text1"/>
          <w:sz w:val="24"/>
          <w:szCs w:val="24"/>
        </w:rPr>
        <w:t>et al</w:t>
      </w:r>
      <w:r w:rsidR="00BF14F7" w:rsidRPr="00462C0B">
        <w:rPr>
          <w:rFonts w:ascii="Times New Roman" w:hAnsi="Times New Roman" w:cs="Times New Roman"/>
          <w:i/>
          <w:iCs/>
          <w:color w:val="000000" w:themeColor="text1"/>
          <w:sz w:val="24"/>
          <w:szCs w:val="24"/>
        </w:rPr>
        <w:t>.</w:t>
      </w:r>
      <w:r w:rsidRPr="00462C0B">
        <w:rPr>
          <w:rFonts w:ascii="Times New Roman" w:hAnsi="Times New Roman" w:cs="Times New Roman"/>
          <w:color w:val="000000" w:themeColor="text1"/>
          <w:sz w:val="24"/>
          <w:szCs w:val="24"/>
        </w:rPr>
        <w:t xml:space="preserve"> 2010)</w:t>
      </w:r>
      <w:r w:rsidR="00B5055C" w:rsidRPr="00462C0B">
        <w:rPr>
          <w:rFonts w:ascii="Times New Roman" w:hAnsi="Times New Roman" w:cs="Times New Roman"/>
          <w:color w:val="000000" w:themeColor="text1"/>
          <w:sz w:val="24"/>
          <w:szCs w:val="24"/>
        </w:rPr>
        <w:t>. And i</w:t>
      </w:r>
      <w:r w:rsidRPr="00462C0B">
        <w:rPr>
          <w:rFonts w:ascii="Times New Roman" w:hAnsi="Times New Roman" w:cs="Times New Roman"/>
          <w:color w:val="000000" w:themeColor="text1"/>
          <w:sz w:val="24"/>
          <w:szCs w:val="24"/>
        </w:rPr>
        <w:t xml:space="preserve">n practice, early experience of the USA </w:t>
      </w:r>
      <w:r w:rsidR="00BF14F7" w:rsidRPr="00462C0B">
        <w:rPr>
          <w:rFonts w:ascii="Times New Roman" w:hAnsi="Times New Roman" w:cs="Times New Roman"/>
          <w:color w:val="000000" w:themeColor="text1"/>
          <w:sz w:val="24"/>
          <w:szCs w:val="24"/>
        </w:rPr>
        <w:t>wetland mitigation banking</w:t>
      </w:r>
      <w:r w:rsidRPr="00462C0B">
        <w:rPr>
          <w:rFonts w:ascii="Times New Roman" w:hAnsi="Times New Roman" w:cs="Times New Roman"/>
          <w:color w:val="000000" w:themeColor="text1"/>
          <w:sz w:val="24"/>
          <w:szCs w:val="24"/>
        </w:rPr>
        <w:t xml:space="preserve"> market showed </w:t>
      </w:r>
      <w:r w:rsidR="00BF14F7" w:rsidRPr="00462C0B">
        <w:rPr>
          <w:rFonts w:ascii="Times New Roman" w:hAnsi="Times New Roman" w:cs="Times New Roman"/>
          <w:color w:val="000000" w:themeColor="text1"/>
          <w:sz w:val="24"/>
          <w:szCs w:val="24"/>
        </w:rPr>
        <w:t xml:space="preserve">that </w:t>
      </w:r>
      <w:r w:rsidRPr="00462C0B">
        <w:rPr>
          <w:rFonts w:ascii="Times New Roman" w:hAnsi="Times New Roman" w:cs="Times New Roman"/>
          <w:color w:val="000000" w:themeColor="text1"/>
          <w:sz w:val="24"/>
          <w:szCs w:val="24"/>
        </w:rPr>
        <w:t xml:space="preserve">schemes suffered from low rates of compliance, despite agreed conditions </w:t>
      </w:r>
      <w:r w:rsidR="00BF14F7" w:rsidRPr="00462C0B">
        <w:rPr>
          <w:rFonts w:ascii="Times New Roman" w:hAnsi="Times New Roman" w:cs="Times New Roman"/>
          <w:color w:val="000000" w:themeColor="text1"/>
          <w:sz w:val="24"/>
          <w:szCs w:val="24"/>
        </w:rPr>
        <w:t>before</w:t>
      </w:r>
      <w:r w:rsidRPr="00462C0B">
        <w:rPr>
          <w:rFonts w:ascii="Times New Roman" w:hAnsi="Times New Roman" w:cs="Times New Roman"/>
          <w:color w:val="000000" w:themeColor="text1"/>
          <w:sz w:val="24"/>
          <w:szCs w:val="24"/>
        </w:rPr>
        <w:t xml:space="preserve"> implementation (see Brown and Lant 1999; Brown and Veneman 2001; Reiss </w:t>
      </w:r>
      <w:r w:rsidRPr="00462C0B">
        <w:rPr>
          <w:rFonts w:ascii="Times New Roman" w:hAnsi="Times New Roman" w:cs="Times New Roman"/>
          <w:i/>
          <w:iCs/>
          <w:color w:val="000000" w:themeColor="text1"/>
          <w:sz w:val="24"/>
          <w:szCs w:val="24"/>
        </w:rPr>
        <w:t>et al</w:t>
      </w:r>
      <w:r w:rsidR="00BF14F7" w:rsidRPr="00462C0B">
        <w:rPr>
          <w:rFonts w:ascii="Times New Roman" w:hAnsi="Times New Roman" w:cs="Times New Roman"/>
          <w:i/>
          <w:iCs/>
          <w:color w:val="000000" w:themeColor="text1"/>
          <w:sz w:val="24"/>
          <w:szCs w:val="24"/>
        </w:rPr>
        <w:t>.</w:t>
      </w:r>
      <w:r w:rsidRPr="00462C0B">
        <w:rPr>
          <w:rFonts w:ascii="Times New Roman" w:hAnsi="Times New Roman" w:cs="Times New Roman"/>
          <w:color w:val="000000" w:themeColor="text1"/>
          <w:sz w:val="24"/>
          <w:szCs w:val="24"/>
        </w:rPr>
        <w:t xml:space="preserve"> 2009). </w:t>
      </w:r>
      <w:r w:rsidR="00D02C28">
        <w:rPr>
          <w:rFonts w:ascii="Times New Roman" w:hAnsi="Times New Roman" w:cs="Times New Roman"/>
          <w:color w:val="000000" w:themeColor="text1"/>
          <w:sz w:val="24"/>
          <w:szCs w:val="24"/>
        </w:rPr>
        <w:t>In contrast, emerging work from Australian o</w:t>
      </w:r>
      <w:r w:rsidR="007C64E3">
        <w:rPr>
          <w:rFonts w:ascii="Times New Roman" w:hAnsi="Times New Roman" w:cs="Times New Roman"/>
          <w:color w:val="000000" w:themeColor="text1"/>
          <w:sz w:val="24"/>
          <w:szCs w:val="24"/>
        </w:rPr>
        <w:t xml:space="preserve">ffsets programmes has shown there </w:t>
      </w:r>
      <w:r w:rsidR="00EF7821">
        <w:rPr>
          <w:rFonts w:ascii="Times New Roman" w:hAnsi="Times New Roman" w:cs="Times New Roman"/>
          <w:color w:val="000000" w:themeColor="text1"/>
          <w:sz w:val="24"/>
          <w:szCs w:val="24"/>
        </w:rPr>
        <w:t>that landowner</w:t>
      </w:r>
      <w:r w:rsidR="007C64E3">
        <w:rPr>
          <w:rFonts w:ascii="Times New Roman" w:hAnsi="Times New Roman" w:cs="Times New Roman"/>
          <w:color w:val="000000" w:themeColor="text1"/>
          <w:sz w:val="24"/>
          <w:szCs w:val="24"/>
        </w:rPr>
        <w:t xml:space="preserve"> who were </w:t>
      </w:r>
      <w:r w:rsidR="00EF7821">
        <w:rPr>
          <w:rFonts w:ascii="Times New Roman" w:hAnsi="Times New Roman" w:cs="Times New Roman"/>
          <w:color w:val="000000" w:themeColor="text1"/>
          <w:sz w:val="24"/>
          <w:szCs w:val="24"/>
        </w:rPr>
        <w:t xml:space="preserve">early </w:t>
      </w:r>
      <w:r w:rsidR="007C64E3">
        <w:rPr>
          <w:rFonts w:ascii="Times New Roman" w:hAnsi="Times New Roman" w:cs="Times New Roman"/>
          <w:color w:val="000000" w:themeColor="text1"/>
          <w:sz w:val="24"/>
          <w:szCs w:val="24"/>
        </w:rPr>
        <w:t>adopters into programmes</w:t>
      </w:r>
      <w:r w:rsidR="007543CB">
        <w:rPr>
          <w:rFonts w:ascii="Times New Roman" w:hAnsi="Times New Roman" w:cs="Times New Roman"/>
          <w:color w:val="000000" w:themeColor="text1"/>
          <w:sz w:val="24"/>
          <w:szCs w:val="24"/>
        </w:rPr>
        <w:t xml:space="preserve"> were more likely to show pro-environmental characteristics, meaning maybe they are more sympathetic towards conservation goals (zu Ermgassen </w:t>
      </w:r>
      <w:r w:rsidR="007543CB">
        <w:rPr>
          <w:rFonts w:ascii="Times New Roman" w:hAnsi="Times New Roman" w:cs="Times New Roman"/>
          <w:i/>
          <w:iCs/>
          <w:color w:val="000000" w:themeColor="text1"/>
          <w:sz w:val="24"/>
          <w:szCs w:val="24"/>
        </w:rPr>
        <w:t>et al.</w:t>
      </w:r>
      <w:r w:rsidR="007543CB">
        <w:rPr>
          <w:rFonts w:ascii="Times New Roman" w:hAnsi="Times New Roman" w:cs="Times New Roman"/>
          <w:color w:val="000000" w:themeColor="text1"/>
          <w:sz w:val="24"/>
          <w:szCs w:val="24"/>
        </w:rPr>
        <w:t xml:space="preserve"> 2022). </w:t>
      </w:r>
    </w:p>
    <w:p w14:paraId="281F8132" w14:textId="18001BFA" w:rsidR="002D2B6E" w:rsidRPr="00462C0B" w:rsidRDefault="00B95289" w:rsidP="00B95289">
      <w:pPr>
        <w:spacing w:line="360" w:lineRule="auto"/>
        <w:rPr>
          <w:rFonts w:asciiTheme="majorBidi" w:hAnsiTheme="majorBidi" w:cstheme="majorBidi"/>
          <w:sz w:val="24"/>
          <w:szCs w:val="24"/>
        </w:rPr>
      </w:pPr>
      <w:r w:rsidRPr="00462C0B">
        <w:rPr>
          <w:rFonts w:ascii="Times New Roman" w:hAnsi="Times New Roman" w:cs="Times New Roman"/>
          <w:color w:val="000000" w:themeColor="text1"/>
          <w:sz w:val="24"/>
          <w:szCs w:val="24"/>
        </w:rPr>
        <w:lastRenderedPageBreak/>
        <w:t xml:space="preserve">Evidence from the literature suggests that developers have significantly greater bargaining power in the design of contracts than the potential offset providers. </w:t>
      </w:r>
      <w:r w:rsidR="002D2B6E" w:rsidRPr="00462C0B">
        <w:rPr>
          <w:rFonts w:ascii="Times New Roman" w:hAnsi="Times New Roman" w:cs="Times New Roman"/>
          <w:color w:val="000000" w:themeColor="text1"/>
          <w:sz w:val="24"/>
          <w:szCs w:val="24"/>
        </w:rPr>
        <w:t>At the contractual design stage</w:t>
      </w:r>
      <w:r w:rsidRPr="00462C0B">
        <w:rPr>
          <w:rFonts w:ascii="Times New Roman" w:hAnsi="Times New Roman" w:cs="Times New Roman"/>
          <w:color w:val="000000" w:themeColor="text1"/>
          <w:sz w:val="24"/>
          <w:szCs w:val="24"/>
        </w:rPr>
        <w:t>,</w:t>
      </w:r>
      <w:r w:rsidR="002D2B6E" w:rsidRPr="00462C0B">
        <w:rPr>
          <w:rFonts w:ascii="Times New Roman" w:hAnsi="Times New Roman" w:cs="Times New Roman"/>
          <w:color w:val="000000" w:themeColor="text1"/>
          <w:sz w:val="24"/>
          <w:szCs w:val="24"/>
        </w:rPr>
        <w:t xml:space="preserve"> there is evidence o</w:t>
      </w:r>
      <w:r w:rsidRPr="00462C0B">
        <w:rPr>
          <w:rFonts w:ascii="Times New Roman" w:hAnsi="Times New Roman" w:cs="Times New Roman"/>
          <w:color w:val="000000" w:themeColor="text1"/>
          <w:sz w:val="24"/>
          <w:szCs w:val="24"/>
        </w:rPr>
        <w:t>f</w:t>
      </w:r>
      <w:r w:rsidR="002D2B6E" w:rsidRPr="00462C0B">
        <w:rPr>
          <w:rFonts w:ascii="Times New Roman" w:hAnsi="Times New Roman" w:cs="Times New Roman"/>
          <w:color w:val="000000" w:themeColor="text1"/>
          <w:sz w:val="24"/>
          <w:szCs w:val="24"/>
        </w:rPr>
        <w:t xml:space="preserve"> developers placing downward pressure on compensatory requirements. </w:t>
      </w:r>
      <w:bookmarkStart w:id="0" w:name="_Hlk104888038"/>
      <w:proofErr w:type="spellStart"/>
      <w:r w:rsidR="002D2B6E" w:rsidRPr="00462C0B">
        <w:rPr>
          <w:rFonts w:ascii="Times New Roman" w:hAnsi="Times New Roman" w:cs="Times New Roman"/>
          <w:color w:val="000000" w:themeColor="text1"/>
          <w:sz w:val="24"/>
          <w:szCs w:val="24"/>
        </w:rPr>
        <w:t>Vaissière</w:t>
      </w:r>
      <w:proofErr w:type="spellEnd"/>
      <w:r w:rsidR="002D2B6E" w:rsidRPr="00462C0B">
        <w:rPr>
          <w:rFonts w:ascii="Times New Roman" w:hAnsi="Times New Roman" w:cs="Times New Roman"/>
          <w:color w:val="000000" w:themeColor="text1"/>
          <w:sz w:val="24"/>
          <w:szCs w:val="24"/>
        </w:rPr>
        <w:t xml:space="preserve"> </w:t>
      </w:r>
      <w:r w:rsidR="002D2B6E" w:rsidRPr="00462C0B">
        <w:rPr>
          <w:rFonts w:ascii="Times New Roman" w:hAnsi="Times New Roman" w:cs="Times New Roman"/>
          <w:i/>
          <w:iCs/>
          <w:color w:val="000000" w:themeColor="text1"/>
          <w:sz w:val="24"/>
          <w:szCs w:val="24"/>
        </w:rPr>
        <w:t>et al</w:t>
      </w:r>
      <w:r w:rsidRPr="00462C0B">
        <w:rPr>
          <w:rFonts w:ascii="Times New Roman" w:hAnsi="Times New Roman" w:cs="Times New Roman"/>
          <w:i/>
          <w:iCs/>
          <w:color w:val="000000" w:themeColor="text1"/>
          <w:sz w:val="24"/>
          <w:szCs w:val="24"/>
        </w:rPr>
        <w:t>.</w:t>
      </w:r>
      <w:r w:rsidR="002D2B6E" w:rsidRPr="00462C0B">
        <w:rPr>
          <w:rFonts w:ascii="Times New Roman" w:hAnsi="Times New Roman" w:cs="Times New Roman"/>
          <w:color w:val="000000" w:themeColor="text1"/>
          <w:sz w:val="24"/>
          <w:szCs w:val="24"/>
        </w:rPr>
        <w:t xml:space="preserve"> (2017) </w:t>
      </w:r>
      <w:bookmarkEnd w:id="0"/>
      <w:r w:rsidR="002D2B6E" w:rsidRPr="00462C0B">
        <w:rPr>
          <w:rFonts w:ascii="Times New Roman" w:hAnsi="Times New Roman" w:cs="Times New Roman"/>
          <w:color w:val="000000" w:themeColor="text1"/>
          <w:sz w:val="24"/>
          <w:szCs w:val="24"/>
        </w:rPr>
        <w:t xml:space="preserve">visited 20 mitigation banks and interviewed 54 stakeholders within the Florida wetland mitigation banking market to understand bargaining between developers and offset providers. Developers </w:t>
      </w:r>
      <w:r w:rsidR="00BC35FD" w:rsidRPr="00462C0B">
        <w:rPr>
          <w:rFonts w:ascii="Times New Roman" w:hAnsi="Times New Roman" w:cs="Times New Roman"/>
          <w:color w:val="000000" w:themeColor="text1"/>
          <w:sz w:val="24"/>
          <w:szCs w:val="24"/>
        </w:rPr>
        <w:t xml:space="preserve">were actively </w:t>
      </w:r>
      <w:r w:rsidR="002D2B6E" w:rsidRPr="00462C0B">
        <w:rPr>
          <w:rFonts w:ascii="Times New Roman" w:hAnsi="Times New Roman" w:cs="Times New Roman"/>
          <w:color w:val="000000" w:themeColor="text1"/>
          <w:sz w:val="24"/>
          <w:szCs w:val="24"/>
        </w:rPr>
        <w:t>looking to fulfil their mitigation requirements at the lowest cost and minimi</w:t>
      </w:r>
      <w:r w:rsidR="00BC35FD" w:rsidRPr="00462C0B">
        <w:rPr>
          <w:rFonts w:ascii="Times New Roman" w:hAnsi="Times New Roman" w:cs="Times New Roman"/>
          <w:color w:val="000000" w:themeColor="text1"/>
          <w:sz w:val="24"/>
          <w:szCs w:val="24"/>
        </w:rPr>
        <w:t>se</w:t>
      </w:r>
      <w:r w:rsidR="002D2B6E" w:rsidRPr="00462C0B">
        <w:rPr>
          <w:rFonts w:ascii="Times New Roman" w:hAnsi="Times New Roman" w:cs="Times New Roman"/>
          <w:color w:val="000000" w:themeColor="text1"/>
          <w:sz w:val="24"/>
          <w:szCs w:val="24"/>
        </w:rPr>
        <w:t xml:space="preserve"> the number of credits they need to purchase. Similar evidence was found </w:t>
      </w:r>
      <w:r w:rsidR="00BC35FD" w:rsidRPr="00462C0B">
        <w:rPr>
          <w:rFonts w:ascii="Times New Roman" w:hAnsi="Times New Roman" w:cs="Times New Roman"/>
          <w:color w:val="000000" w:themeColor="text1"/>
          <w:sz w:val="24"/>
          <w:szCs w:val="24"/>
        </w:rPr>
        <w:t>when</w:t>
      </w:r>
      <w:r w:rsidR="002D2B6E" w:rsidRPr="00462C0B">
        <w:rPr>
          <w:rFonts w:ascii="Times New Roman" w:hAnsi="Times New Roman" w:cs="Times New Roman"/>
          <w:color w:val="000000" w:themeColor="text1"/>
          <w:sz w:val="24"/>
          <w:szCs w:val="24"/>
        </w:rPr>
        <w:t xml:space="preserve"> reviewing the UK biodiversity offset pilots (2012 - 2014). Carver and Sullivan (2017) found evidence that firms successfully adjusted the biodiversity metric downward, resulting in not only cheaper compensation for the developers but a potential loss in biodiversity. In one case, </w:t>
      </w:r>
      <w:r w:rsidR="002D2B6E" w:rsidRPr="00462C0B">
        <w:rPr>
          <w:rFonts w:asciiTheme="majorBidi" w:hAnsiTheme="majorBidi" w:cstheme="majorBidi"/>
          <w:sz w:val="24"/>
          <w:szCs w:val="24"/>
        </w:rPr>
        <w:t xml:space="preserve">the development firm negotiated a reduction in biodiversity offset compensation from £300,000 to £90,000, with the baseline ecological recalculated from 48.68 to 25.52 units. The developers argued the initial cost would restrict the financial viability of the development. Housebuilding is a priority in England, and there are clear tensions between the need to free up land for construction and what developers are prepared to spend on mitigation (Lockhart 2015). </w:t>
      </w:r>
    </w:p>
    <w:p w14:paraId="5BAC117C" w14:textId="53C984FB" w:rsidR="002D2B6E" w:rsidRDefault="002C5701" w:rsidP="007B4B43">
      <w:pPr>
        <w:spacing w:line="360" w:lineRule="auto"/>
        <w:rPr>
          <w:rFonts w:ascii="Times New Roman" w:hAnsi="Times New Roman" w:cs="Times New Roman"/>
          <w:sz w:val="24"/>
          <w:szCs w:val="24"/>
        </w:rPr>
      </w:pPr>
      <w:r w:rsidRPr="00462C0B">
        <w:rPr>
          <w:rFonts w:ascii="Times New Roman" w:hAnsi="Times New Roman" w:cs="Times New Roman"/>
          <w:sz w:val="24"/>
          <w:szCs w:val="24"/>
        </w:rPr>
        <w:t>Interviews with wetland mitigation bankers in Florida highlighted the financial risk in developing a bank with significant upfront costs required and a return on investment that may take several years</w:t>
      </w:r>
      <w:r w:rsidR="00D85732">
        <w:rPr>
          <w:rFonts w:ascii="Times New Roman" w:hAnsi="Times New Roman" w:cs="Times New Roman"/>
          <w:sz w:val="24"/>
          <w:szCs w:val="24"/>
        </w:rPr>
        <w:t xml:space="preserve"> to realise</w:t>
      </w:r>
      <w:r w:rsidR="00E04C16" w:rsidRPr="00462C0B">
        <w:rPr>
          <w:rFonts w:ascii="Times New Roman" w:hAnsi="Times New Roman" w:cs="Times New Roman"/>
          <w:sz w:val="24"/>
          <w:szCs w:val="24"/>
        </w:rPr>
        <w:t xml:space="preserve"> (</w:t>
      </w:r>
      <w:proofErr w:type="spellStart"/>
      <w:r w:rsidR="00E04C16" w:rsidRPr="00462C0B">
        <w:rPr>
          <w:rFonts w:ascii="Times New Roman" w:hAnsi="Times New Roman" w:cs="Times New Roman"/>
          <w:sz w:val="24"/>
          <w:szCs w:val="24"/>
        </w:rPr>
        <w:t>Vaissière</w:t>
      </w:r>
      <w:proofErr w:type="spellEnd"/>
      <w:r w:rsidR="00E04C16" w:rsidRPr="00462C0B">
        <w:rPr>
          <w:rFonts w:ascii="Times New Roman" w:hAnsi="Times New Roman" w:cs="Times New Roman"/>
          <w:sz w:val="24"/>
          <w:szCs w:val="24"/>
        </w:rPr>
        <w:t xml:space="preserve"> </w:t>
      </w:r>
      <w:r w:rsidR="00E04C16" w:rsidRPr="00462C0B">
        <w:rPr>
          <w:rFonts w:ascii="Times New Roman" w:hAnsi="Times New Roman" w:cs="Times New Roman"/>
          <w:i/>
          <w:iCs/>
          <w:sz w:val="24"/>
          <w:szCs w:val="24"/>
        </w:rPr>
        <w:t>et al.</w:t>
      </w:r>
      <w:r w:rsidR="00E04C16" w:rsidRPr="00462C0B">
        <w:rPr>
          <w:rFonts w:ascii="Times New Roman" w:hAnsi="Times New Roman" w:cs="Times New Roman"/>
          <w:sz w:val="24"/>
          <w:szCs w:val="24"/>
        </w:rPr>
        <w:t xml:space="preserve"> 2017). As a result, o</w:t>
      </w:r>
      <w:r w:rsidR="00E04C16" w:rsidRPr="00462C0B">
        <w:rPr>
          <w:rFonts w:asciiTheme="majorBidi" w:hAnsiTheme="majorBidi" w:cstheme="majorBidi"/>
          <w:sz w:val="24"/>
          <w:szCs w:val="24"/>
        </w:rPr>
        <w:t xml:space="preserve">ffset providers </w:t>
      </w:r>
      <w:r w:rsidR="00E04C16" w:rsidRPr="00462C0B">
        <w:rPr>
          <w:rFonts w:ascii="Times New Roman" w:hAnsi="Times New Roman" w:cs="Times New Roman"/>
          <w:sz w:val="24"/>
          <w:szCs w:val="24"/>
        </w:rPr>
        <w:t xml:space="preserve">may push the negotiations toward an early release of credits </w:t>
      </w:r>
      <w:proofErr w:type="gramStart"/>
      <w:r w:rsidR="00E04C16" w:rsidRPr="00462C0B">
        <w:rPr>
          <w:rFonts w:ascii="Times New Roman" w:hAnsi="Times New Roman" w:cs="Times New Roman"/>
          <w:sz w:val="24"/>
          <w:szCs w:val="24"/>
        </w:rPr>
        <w:t>in order to</w:t>
      </w:r>
      <w:proofErr w:type="gramEnd"/>
      <w:r w:rsidR="00E04C16" w:rsidRPr="00462C0B">
        <w:rPr>
          <w:rFonts w:ascii="Times New Roman" w:hAnsi="Times New Roman" w:cs="Times New Roman"/>
          <w:sz w:val="24"/>
          <w:szCs w:val="24"/>
        </w:rPr>
        <w:t xml:space="preserve"> obtain revenue more quickly</w:t>
      </w:r>
      <w:r w:rsidR="004618DD" w:rsidRPr="00462C0B">
        <w:rPr>
          <w:rFonts w:ascii="Times New Roman" w:hAnsi="Times New Roman" w:cs="Times New Roman"/>
          <w:sz w:val="24"/>
          <w:szCs w:val="24"/>
        </w:rPr>
        <w:t xml:space="preserve">. They may also push the regulators to increase the ecological value of the restored bank so that they can sell more credits. </w:t>
      </w:r>
      <w:r w:rsidR="00595495" w:rsidRPr="00462C0B">
        <w:rPr>
          <w:rFonts w:ascii="Times New Roman" w:hAnsi="Times New Roman" w:cs="Times New Roman"/>
          <w:sz w:val="24"/>
          <w:szCs w:val="24"/>
        </w:rPr>
        <w:t>E</w:t>
      </w:r>
      <w:r w:rsidR="002D2B6E" w:rsidRPr="00462C0B">
        <w:rPr>
          <w:rFonts w:ascii="Times New Roman" w:hAnsi="Times New Roman" w:cs="Times New Roman"/>
          <w:sz w:val="24"/>
          <w:szCs w:val="24"/>
        </w:rPr>
        <w:t xml:space="preserve">vidence from the </w:t>
      </w:r>
      <w:r w:rsidR="004033F6" w:rsidRPr="00462C0B">
        <w:rPr>
          <w:rFonts w:ascii="Times New Roman" w:hAnsi="Times New Roman" w:cs="Times New Roman"/>
          <w:sz w:val="24"/>
          <w:szCs w:val="24"/>
        </w:rPr>
        <w:t>wetland mitigation banking</w:t>
      </w:r>
      <w:r w:rsidR="002D2B6E" w:rsidRPr="00462C0B">
        <w:rPr>
          <w:rFonts w:ascii="Times New Roman" w:hAnsi="Times New Roman" w:cs="Times New Roman"/>
          <w:sz w:val="24"/>
          <w:szCs w:val="24"/>
        </w:rPr>
        <w:t xml:space="preserve"> market has shown that when the payment for early release is too high, this incentivizes </w:t>
      </w:r>
      <w:r w:rsidR="004618DD" w:rsidRPr="00462C0B">
        <w:rPr>
          <w:rFonts w:ascii="Times New Roman" w:hAnsi="Times New Roman" w:cs="Times New Roman"/>
          <w:sz w:val="24"/>
          <w:szCs w:val="24"/>
        </w:rPr>
        <w:t xml:space="preserve">offset providers </w:t>
      </w:r>
      <w:r w:rsidR="002D2B6E" w:rsidRPr="00462C0B">
        <w:rPr>
          <w:rFonts w:ascii="Times New Roman" w:hAnsi="Times New Roman" w:cs="Times New Roman"/>
          <w:sz w:val="24"/>
          <w:szCs w:val="24"/>
        </w:rPr>
        <w:t xml:space="preserve">to reduce their optimal level of effort on the project, </w:t>
      </w:r>
      <w:r w:rsidR="004033F6" w:rsidRPr="00462C0B">
        <w:rPr>
          <w:rFonts w:ascii="Times New Roman" w:hAnsi="Times New Roman" w:cs="Times New Roman"/>
          <w:sz w:val="24"/>
          <w:szCs w:val="24"/>
        </w:rPr>
        <w:t xml:space="preserve">potentially </w:t>
      </w:r>
      <w:r w:rsidR="002D2B6E" w:rsidRPr="00462C0B">
        <w:rPr>
          <w:rFonts w:ascii="Times New Roman" w:hAnsi="Times New Roman" w:cs="Times New Roman"/>
          <w:sz w:val="24"/>
          <w:szCs w:val="24"/>
        </w:rPr>
        <w:t xml:space="preserve">leading to sub-optimal restoration (BenDor </w:t>
      </w:r>
      <w:r w:rsidR="002D2B6E" w:rsidRPr="00462C0B">
        <w:rPr>
          <w:rFonts w:ascii="Times New Roman" w:hAnsi="Times New Roman" w:cs="Times New Roman"/>
          <w:i/>
          <w:iCs/>
          <w:sz w:val="24"/>
          <w:szCs w:val="24"/>
        </w:rPr>
        <w:t>et al.</w:t>
      </w:r>
      <w:r w:rsidR="002D2B6E" w:rsidRPr="00462C0B">
        <w:rPr>
          <w:rFonts w:ascii="Times New Roman" w:hAnsi="Times New Roman" w:cs="Times New Roman"/>
          <w:sz w:val="24"/>
          <w:szCs w:val="24"/>
        </w:rPr>
        <w:t xml:space="preserve"> 2014). </w:t>
      </w:r>
      <w:proofErr w:type="gramStart"/>
      <w:r w:rsidR="002D2B6E" w:rsidRPr="00462C0B">
        <w:rPr>
          <w:rFonts w:ascii="Times New Roman" w:hAnsi="Times New Roman" w:cs="Times New Roman"/>
          <w:sz w:val="24"/>
          <w:szCs w:val="24"/>
        </w:rPr>
        <w:t>Thus</w:t>
      </w:r>
      <w:proofErr w:type="gramEnd"/>
      <w:r w:rsidR="002D2B6E" w:rsidRPr="00462C0B">
        <w:rPr>
          <w:rFonts w:ascii="Times New Roman" w:hAnsi="Times New Roman" w:cs="Times New Roman"/>
          <w:sz w:val="24"/>
          <w:szCs w:val="24"/>
        </w:rPr>
        <w:t xml:space="preserve"> advanced payment is a fine balancing act: too high and there is an incentive for </w:t>
      </w:r>
      <w:r w:rsidR="004618DD" w:rsidRPr="00462C0B">
        <w:rPr>
          <w:rFonts w:ascii="Times New Roman" w:hAnsi="Times New Roman" w:cs="Times New Roman"/>
          <w:sz w:val="24"/>
          <w:szCs w:val="24"/>
        </w:rPr>
        <w:t>offset providers</w:t>
      </w:r>
      <w:r w:rsidR="002D2B6E" w:rsidRPr="00462C0B">
        <w:rPr>
          <w:rFonts w:ascii="Times New Roman" w:hAnsi="Times New Roman" w:cs="Times New Roman"/>
          <w:sz w:val="24"/>
          <w:szCs w:val="24"/>
        </w:rPr>
        <w:t xml:space="preserve"> to underproduce on the restoration effort; too low and not enough </w:t>
      </w:r>
      <w:r w:rsidR="004618DD" w:rsidRPr="00462C0B">
        <w:rPr>
          <w:rFonts w:ascii="Times New Roman" w:hAnsi="Times New Roman" w:cs="Times New Roman"/>
          <w:sz w:val="24"/>
          <w:szCs w:val="24"/>
        </w:rPr>
        <w:t xml:space="preserve">suppliers </w:t>
      </w:r>
      <w:r w:rsidR="002D2B6E" w:rsidRPr="00462C0B">
        <w:rPr>
          <w:rFonts w:ascii="Times New Roman" w:hAnsi="Times New Roman" w:cs="Times New Roman"/>
          <w:sz w:val="24"/>
          <w:szCs w:val="24"/>
        </w:rPr>
        <w:t xml:space="preserve">will enter the market. Further empirical analysis has also shown that when the scale of trading and credit release schedules are considered simultaneously, market entry is primarily related to regional geography and regional economic growth (construction rates), i.e., demand for offsets and not whether </w:t>
      </w:r>
      <w:r w:rsidR="004618DD" w:rsidRPr="00462C0B">
        <w:rPr>
          <w:rFonts w:ascii="Times New Roman" w:hAnsi="Times New Roman" w:cs="Times New Roman"/>
          <w:sz w:val="24"/>
          <w:szCs w:val="24"/>
        </w:rPr>
        <w:t>offset suppliers</w:t>
      </w:r>
      <w:r w:rsidR="002D2B6E" w:rsidRPr="00462C0B">
        <w:rPr>
          <w:rFonts w:ascii="Times New Roman" w:hAnsi="Times New Roman" w:cs="Times New Roman"/>
          <w:sz w:val="24"/>
          <w:szCs w:val="24"/>
        </w:rPr>
        <w:t xml:space="preserve"> are permitted to release credits early (BenDor </w:t>
      </w:r>
      <w:r w:rsidR="002D2B6E" w:rsidRPr="00462C0B">
        <w:rPr>
          <w:rFonts w:ascii="Times New Roman" w:hAnsi="Times New Roman" w:cs="Times New Roman"/>
          <w:i/>
          <w:iCs/>
          <w:sz w:val="24"/>
          <w:szCs w:val="24"/>
        </w:rPr>
        <w:t>et al</w:t>
      </w:r>
      <w:r w:rsidR="00595495" w:rsidRPr="00462C0B">
        <w:rPr>
          <w:rFonts w:ascii="Times New Roman" w:hAnsi="Times New Roman" w:cs="Times New Roman"/>
          <w:i/>
          <w:iCs/>
          <w:sz w:val="24"/>
          <w:szCs w:val="24"/>
        </w:rPr>
        <w:t>.</w:t>
      </w:r>
      <w:r w:rsidR="002D2B6E" w:rsidRPr="00462C0B">
        <w:rPr>
          <w:rFonts w:ascii="Times New Roman" w:hAnsi="Times New Roman" w:cs="Times New Roman"/>
          <w:sz w:val="24"/>
          <w:szCs w:val="24"/>
        </w:rPr>
        <w:t xml:space="preserve"> 2011). </w:t>
      </w:r>
    </w:p>
    <w:p w14:paraId="2D1CF2D8" w14:textId="60ACCEE2" w:rsidR="007B4B43" w:rsidRPr="007B4B43" w:rsidRDefault="007B4B43" w:rsidP="007B4B43">
      <w:pPr>
        <w:spacing w:line="360" w:lineRule="auto"/>
        <w:rPr>
          <w:rFonts w:ascii="Times New Roman" w:hAnsi="Times New Roman" w:cs="Times New Roman"/>
          <w:sz w:val="24"/>
          <w:szCs w:val="24"/>
        </w:rPr>
      </w:pPr>
      <w:r w:rsidRPr="007B4B43">
        <w:rPr>
          <w:rFonts w:ascii="Times New Roman" w:hAnsi="Times New Roman" w:cs="Times New Roman"/>
          <w:sz w:val="24"/>
          <w:szCs w:val="24"/>
        </w:rPr>
        <w:lastRenderedPageBreak/>
        <w:t>Ecological and financial risks within t</w:t>
      </w:r>
      <w:r>
        <w:rPr>
          <w:rFonts w:ascii="Times New Roman" w:hAnsi="Times New Roman" w:cs="Times New Roman"/>
          <w:sz w:val="24"/>
          <w:szCs w:val="24"/>
        </w:rPr>
        <w:t xml:space="preserve">he wetland banking </w:t>
      </w:r>
      <w:r w:rsidRPr="007B4B43">
        <w:rPr>
          <w:rFonts w:ascii="Times New Roman" w:hAnsi="Times New Roman" w:cs="Times New Roman"/>
          <w:sz w:val="24"/>
          <w:szCs w:val="24"/>
        </w:rPr>
        <w:t>markets are also mitigated through contractual obligations (</w:t>
      </w:r>
      <w:proofErr w:type="spellStart"/>
      <w:r w:rsidRPr="007B4B43">
        <w:rPr>
          <w:rFonts w:ascii="Times New Roman" w:hAnsi="Times New Roman" w:cs="Times New Roman"/>
          <w:sz w:val="24"/>
          <w:szCs w:val="24"/>
        </w:rPr>
        <w:t>Levrel</w:t>
      </w:r>
      <w:proofErr w:type="spellEnd"/>
      <w:r w:rsidRPr="007B4B43">
        <w:rPr>
          <w:rFonts w:ascii="Times New Roman" w:hAnsi="Times New Roman" w:cs="Times New Roman"/>
          <w:sz w:val="24"/>
          <w:szCs w:val="24"/>
        </w:rPr>
        <w:t xml:space="preserve"> et al. 2017). These obligations include:</w:t>
      </w:r>
    </w:p>
    <w:p w14:paraId="4A9D1E1D" w14:textId="7F431732" w:rsidR="007B4B43" w:rsidRPr="00E62491" w:rsidRDefault="007B4B43" w:rsidP="00E62491">
      <w:pPr>
        <w:pStyle w:val="ListParagraph"/>
        <w:numPr>
          <w:ilvl w:val="0"/>
          <w:numId w:val="34"/>
        </w:numPr>
        <w:spacing w:line="360" w:lineRule="auto"/>
        <w:rPr>
          <w:rFonts w:ascii="Times New Roman" w:hAnsi="Times New Roman" w:cs="Times New Roman"/>
          <w:sz w:val="24"/>
          <w:szCs w:val="24"/>
        </w:rPr>
      </w:pPr>
      <w:r w:rsidRPr="00E62491">
        <w:rPr>
          <w:rFonts w:ascii="Times New Roman" w:hAnsi="Times New Roman" w:cs="Times New Roman"/>
          <w:sz w:val="24"/>
          <w:szCs w:val="24"/>
        </w:rPr>
        <w:t xml:space="preserve">Long-term management of the site requires minimal maintenance with very few intensive cost engineering measures. </w:t>
      </w:r>
    </w:p>
    <w:p w14:paraId="0899099E" w14:textId="206E25D8" w:rsidR="007B4B43" w:rsidRPr="00E62491" w:rsidRDefault="007B4B43" w:rsidP="00E62491">
      <w:pPr>
        <w:pStyle w:val="ListParagraph"/>
        <w:numPr>
          <w:ilvl w:val="0"/>
          <w:numId w:val="34"/>
        </w:numPr>
        <w:spacing w:line="360" w:lineRule="auto"/>
        <w:rPr>
          <w:rFonts w:ascii="Times New Roman" w:hAnsi="Times New Roman" w:cs="Times New Roman"/>
          <w:sz w:val="24"/>
          <w:szCs w:val="24"/>
        </w:rPr>
      </w:pPr>
      <w:r w:rsidRPr="00E62491">
        <w:rPr>
          <w:rFonts w:ascii="Times New Roman" w:hAnsi="Times New Roman" w:cs="Times New Roman"/>
          <w:sz w:val="24"/>
          <w:szCs w:val="24"/>
        </w:rPr>
        <w:t xml:space="preserve">The creation of a long-term stewardship fund that will be transferred to a local organisation (NGO) or a public agency to manage the site after the mitigation bank reaches its ecological goals. </w:t>
      </w:r>
    </w:p>
    <w:p w14:paraId="7212A605" w14:textId="1EBB7827" w:rsidR="007B4B43" w:rsidRPr="00E62491" w:rsidRDefault="007B4B43" w:rsidP="00E62491">
      <w:pPr>
        <w:pStyle w:val="ListParagraph"/>
        <w:numPr>
          <w:ilvl w:val="0"/>
          <w:numId w:val="34"/>
        </w:numPr>
        <w:spacing w:line="360" w:lineRule="auto"/>
        <w:rPr>
          <w:rFonts w:ascii="Times New Roman" w:hAnsi="Times New Roman" w:cs="Times New Roman"/>
          <w:sz w:val="24"/>
          <w:szCs w:val="24"/>
        </w:rPr>
      </w:pPr>
      <w:r w:rsidRPr="00E62491">
        <w:rPr>
          <w:rFonts w:ascii="Times New Roman" w:hAnsi="Times New Roman" w:cs="Times New Roman"/>
          <w:sz w:val="24"/>
          <w:szCs w:val="24"/>
        </w:rPr>
        <w:t>Designation of conservation easements to protect a bank site from any development projects.</w:t>
      </w:r>
    </w:p>
    <w:p w14:paraId="59CB771B" w14:textId="0D345E08" w:rsidR="007B4B43" w:rsidRPr="00E62491" w:rsidRDefault="007B4B43" w:rsidP="0065680D">
      <w:pPr>
        <w:pStyle w:val="ListParagraph"/>
        <w:numPr>
          <w:ilvl w:val="0"/>
          <w:numId w:val="34"/>
        </w:numPr>
        <w:spacing w:line="360" w:lineRule="auto"/>
        <w:rPr>
          <w:rFonts w:ascii="Times New Roman" w:hAnsi="Times New Roman" w:cs="Times New Roman"/>
          <w:sz w:val="24"/>
          <w:szCs w:val="24"/>
        </w:rPr>
      </w:pPr>
      <w:r w:rsidRPr="00E62491">
        <w:rPr>
          <w:rFonts w:ascii="Times New Roman" w:hAnsi="Times New Roman" w:cs="Times New Roman"/>
          <w:sz w:val="24"/>
          <w:szCs w:val="24"/>
        </w:rPr>
        <w:t>Performance bonds applied during the construction of the restoration site. This is a financial guarantee against any failure to observe the terms of the contract. If a mitigation banker goes bankrupt, a third party associated with the performance bond is obliged to release money from the bond to any other body responsible for overseeing the mitigation bank project. In this way, regulators can carry out the necessary actions to complete the implementation of the mitigation bank, or at least to maintain the ecological lift that has been sold through credits to compensate for impacts</w:t>
      </w:r>
      <w:r w:rsidR="00E62491" w:rsidRPr="00E62491">
        <w:rPr>
          <w:rFonts w:ascii="Times New Roman" w:hAnsi="Times New Roman" w:cs="Times New Roman"/>
          <w:sz w:val="24"/>
          <w:szCs w:val="24"/>
        </w:rPr>
        <w:t xml:space="preserve">. </w:t>
      </w:r>
    </w:p>
    <w:p w14:paraId="47B25FF5" w14:textId="6B1BA096" w:rsidR="00067D22" w:rsidRPr="00462C0B" w:rsidRDefault="002D2B6E" w:rsidP="00067D22">
      <w:pPr>
        <w:spacing w:line="360" w:lineRule="auto"/>
        <w:rPr>
          <w:rFonts w:ascii="Times New Roman" w:hAnsi="Times New Roman" w:cs="Times New Roman"/>
          <w:sz w:val="24"/>
          <w:szCs w:val="24"/>
        </w:rPr>
      </w:pPr>
      <w:r w:rsidRPr="00462C0B">
        <w:rPr>
          <w:rFonts w:ascii="Times New Roman" w:hAnsi="Times New Roman" w:cs="Times New Roman"/>
          <w:color w:val="000000" w:themeColor="text1"/>
          <w:sz w:val="24"/>
          <w:szCs w:val="24"/>
        </w:rPr>
        <w:t xml:space="preserve">Despite continued calls within </w:t>
      </w:r>
      <w:r w:rsidR="00333590" w:rsidRPr="00462C0B">
        <w:rPr>
          <w:rFonts w:ascii="Times New Roman" w:hAnsi="Times New Roman" w:cs="Times New Roman"/>
          <w:color w:val="000000" w:themeColor="text1"/>
          <w:sz w:val="24"/>
          <w:szCs w:val="24"/>
        </w:rPr>
        <w:t xml:space="preserve">the </w:t>
      </w:r>
      <w:r w:rsidRPr="00462C0B">
        <w:rPr>
          <w:rFonts w:ascii="Times New Roman" w:hAnsi="Times New Roman" w:cs="Times New Roman"/>
          <w:color w:val="000000" w:themeColor="text1"/>
          <w:sz w:val="24"/>
          <w:szCs w:val="24"/>
        </w:rPr>
        <w:t xml:space="preserve">literature </w:t>
      </w:r>
      <w:r w:rsidR="008B2A47" w:rsidRPr="00462C0B">
        <w:rPr>
          <w:rFonts w:ascii="Times New Roman" w:hAnsi="Times New Roman" w:cs="Times New Roman"/>
          <w:sz w:val="24"/>
          <w:szCs w:val="24"/>
        </w:rPr>
        <w:t>for improvements to</w:t>
      </w:r>
      <w:r w:rsidRPr="00462C0B">
        <w:rPr>
          <w:rFonts w:ascii="Times New Roman" w:hAnsi="Times New Roman" w:cs="Times New Roman"/>
          <w:sz w:val="24"/>
          <w:szCs w:val="24"/>
        </w:rPr>
        <w:t xml:space="preserve"> monitoring and enforcement to ensure that offset banks deliver the outcomes intended (e.g., Doka </w:t>
      </w:r>
      <w:r w:rsidRPr="00462C0B">
        <w:rPr>
          <w:rFonts w:ascii="Times New Roman" w:hAnsi="Times New Roman" w:cs="Times New Roman"/>
          <w:i/>
          <w:iCs/>
          <w:sz w:val="24"/>
          <w:szCs w:val="24"/>
        </w:rPr>
        <w:t>et al</w:t>
      </w:r>
      <w:r w:rsidR="00C346A8" w:rsidRPr="00462C0B">
        <w:rPr>
          <w:rFonts w:ascii="Times New Roman" w:hAnsi="Times New Roman" w:cs="Times New Roman"/>
          <w:i/>
          <w:iCs/>
          <w:sz w:val="24"/>
          <w:szCs w:val="24"/>
        </w:rPr>
        <w:t>.</w:t>
      </w:r>
      <w:r w:rsidRPr="00462C0B">
        <w:rPr>
          <w:rFonts w:ascii="Times New Roman" w:hAnsi="Times New Roman" w:cs="Times New Roman"/>
          <w:sz w:val="24"/>
          <w:szCs w:val="24"/>
        </w:rPr>
        <w:t xml:space="preserve"> 2022;</w:t>
      </w:r>
      <w:r w:rsidRPr="00462C0B">
        <w:t xml:space="preserve"> </w:t>
      </w:r>
      <w:proofErr w:type="spellStart"/>
      <w:r w:rsidRPr="00462C0B">
        <w:rPr>
          <w:rFonts w:ascii="Times New Roman" w:hAnsi="Times New Roman" w:cs="Times New Roman"/>
          <w:sz w:val="24"/>
          <w:szCs w:val="24"/>
        </w:rPr>
        <w:t>Vaissière</w:t>
      </w:r>
      <w:proofErr w:type="spellEnd"/>
      <w:r w:rsidRPr="00462C0B">
        <w:rPr>
          <w:rFonts w:ascii="Times New Roman" w:hAnsi="Times New Roman" w:cs="Times New Roman"/>
          <w:sz w:val="24"/>
          <w:szCs w:val="24"/>
        </w:rPr>
        <w:t xml:space="preserve"> </w:t>
      </w:r>
      <w:r w:rsidRPr="00462C0B">
        <w:rPr>
          <w:rFonts w:ascii="Times New Roman" w:hAnsi="Times New Roman" w:cs="Times New Roman"/>
          <w:i/>
          <w:iCs/>
          <w:sz w:val="24"/>
          <w:szCs w:val="24"/>
        </w:rPr>
        <w:t>et al</w:t>
      </w:r>
      <w:r w:rsidR="00C346A8" w:rsidRPr="00462C0B">
        <w:rPr>
          <w:rFonts w:ascii="Times New Roman" w:hAnsi="Times New Roman" w:cs="Times New Roman"/>
          <w:i/>
          <w:iCs/>
          <w:sz w:val="24"/>
          <w:szCs w:val="24"/>
        </w:rPr>
        <w:t>.</w:t>
      </w:r>
      <w:r w:rsidRPr="00462C0B">
        <w:rPr>
          <w:rFonts w:ascii="Times New Roman" w:hAnsi="Times New Roman" w:cs="Times New Roman"/>
          <w:sz w:val="24"/>
          <w:szCs w:val="24"/>
        </w:rPr>
        <w:t xml:space="preserve"> 2017; Hallwood 2007) there is </w:t>
      </w:r>
      <w:r w:rsidR="00333590" w:rsidRPr="00462C0B">
        <w:rPr>
          <w:rFonts w:ascii="Times New Roman" w:hAnsi="Times New Roman" w:cs="Times New Roman"/>
          <w:sz w:val="24"/>
          <w:szCs w:val="24"/>
        </w:rPr>
        <w:t xml:space="preserve">a </w:t>
      </w:r>
      <w:r w:rsidRPr="00462C0B">
        <w:rPr>
          <w:rFonts w:ascii="Times New Roman" w:hAnsi="Times New Roman" w:cs="Times New Roman"/>
          <w:sz w:val="24"/>
          <w:szCs w:val="24"/>
        </w:rPr>
        <w:t xml:space="preserve">significant lack </w:t>
      </w:r>
      <w:r w:rsidR="00333590" w:rsidRPr="00462C0B">
        <w:rPr>
          <w:rFonts w:ascii="Times New Roman" w:hAnsi="Times New Roman" w:cs="Times New Roman"/>
          <w:sz w:val="24"/>
          <w:szCs w:val="24"/>
        </w:rPr>
        <w:t xml:space="preserve">of </w:t>
      </w:r>
      <w:r w:rsidRPr="00462C0B">
        <w:rPr>
          <w:rFonts w:ascii="Times New Roman" w:hAnsi="Times New Roman" w:cs="Times New Roman"/>
          <w:sz w:val="24"/>
          <w:szCs w:val="24"/>
        </w:rPr>
        <w:t>evidence of this monitoring being undertaken</w:t>
      </w:r>
      <w:r w:rsidR="00333590" w:rsidRPr="00462C0B">
        <w:rPr>
          <w:rFonts w:ascii="Times New Roman" w:hAnsi="Times New Roman" w:cs="Times New Roman"/>
          <w:sz w:val="24"/>
          <w:szCs w:val="24"/>
        </w:rPr>
        <w:t xml:space="preserve"> (</w:t>
      </w:r>
      <w:r w:rsidRPr="00462C0B">
        <w:rPr>
          <w:rFonts w:ascii="Times New Roman" w:hAnsi="Times New Roman" w:cs="Times New Roman"/>
          <w:sz w:val="24"/>
          <w:szCs w:val="24"/>
        </w:rPr>
        <w:t xml:space="preserve">Bull </w:t>
      </w:r>
      <w:r w:rsidRPr="00462C0B">
        <w:rPr>
          <w:rFonts w:ascii="Times New Roman" w:hAnsi="Times New Roman" w:cs="Times New Roman"/>
          <w:i/>
          <w:iCs/>
          <w:sz w:val="24"/>
          <w:szCs w:val="24"/>
        </w:rPr>
        <w:t>et al</w:t>
      </w:r>
      <w:r w:rsidR="00333590" w:rsidRPr="00462C0B">
        <w:rPr>
          <w:rFonts w:ascii="Times New Roman" w:hAnsi="Times New Roman" w:cs="Times New Roman"/>
          <w:i/>
          <w:iCs/>
          <w:sz w:val="24"/>
          <w:szCs w:val="24"/>
        </w:rPr>
        <w:t>.</w:t>
      </w:r>
      <w:r w:rsidRPr="00462C0B">
        <w:rPr>
          <w:rFonts w:ascii="Times New Roman" w:hAnsi="Times New Roman" w:cs="Times New Roman"/>
          <w:sz w:val="24"/>
          <w:szCs w:val="24"/>
        </w:rPr>
        <w:t xml:space="preserve"> 2018</w:t>
      </w:r>
      <w:r w:rsidR="00333590" w:rsidRPr="00462C0B">
        <w:rPr>
          <w:rFonts w:ascii="Times New Roman" w:hAnsi="Times New Roman" w:cs="Times New Roman"/>
          <w:sz w:val="24"/>
          <w:szCs w:val="24"/>
        </w:rPr>
        <w:t xml:space="preserve">; zu Ermgassen </w:t>
      </w:r>
      <w:r w:rsidR="00333590" w:rsidRPr="00462C0B">
        <w:rPr>
          <w:rFonts w:ascii="Times New Roman" w:hAnsi="Times New Roman" w:cs="Times New Roman"/>
          <w:i/>
          <w:iCs/>
          <w:sz w:val="24"/>
          <w:szCs w:val="24"/>
        </w:rPr>
        <w:t>et al.</w:t>
      </w:r>
      <w:r w:rsidR="00333590" w:rsidRPr="00462C0B">
        <w:rPr>
          <w:rFonts w:ascii="Times New Roman" w:hAnsi="Times New Roman" w:cs="Times New Roman"/>
          <w:sz w:val="24"/>
          <w:szCs w:val="24"/>
        </w:rPr>
        <w:t xml:space="preserve"> 2021</w:t>
      </w:r>
      <w:r w:rsidRPr="00462C0B">
        <w:rPr>
          <w:rFonts w:ascii="Times New Roman" w:hAnsi="Times New Roman" w:cs="Times New Roman"/>
          <w:sz w:val="24"/>
          <w:szCs w:val="24"/>
        </w:rPr>
        <w:t>)</w:t>
      </w:r>
      <w:r w:rsidR="00333590" w:rsidRPr="00462C0B">
        <w:rPr>
          <w:rFonts w:ascii="Times New Roman" w:hAnsi="Times New Roman" w:cs="Times New Roman"/>
          <w:sz w:val="24"/>
          <w:szCs w:val="24"/>
        </w:rPr>
        <w:t xml:space="preserve">. Assessment of </w:t>
      </w:r>
      <w:r w:rsidRPr="00462C0B">
        <w:rPr>
          <w:rFonts w:ascii="Times New Roman" w:hAnsi="Times New Roman" w:cs="Times New Roman"/>
          <w:sz w:val="24"/>
          <w:szCs w:val="24"/>
        </w:rPr>
        <w:t xml:space="preserve">the availability and transparency (clear, up to date, and easily accessible information) of data on offset projects implemented under a </w:t>
      </w:r>
      <w:r w:rsidR="00067D22" w:rsidRPr="00462C0B">
        <w:rPr>
          <w:rFonts w:ascii="Times New Roman" w:hAnsi="Times New Roman" w:cs="Times New Roman"/>
          <w:sz w:val="24"/>
          <w:szCs w:val="24"/>
        </w:rPr>
        <w:t>no net loss</w:t>
      </w:r>
      <w:r w:rsidRPr="00462C0B">
        <w:rPr>
          <w:rFonts w:ascii="Times New Roman" w:hAnsi="Times New Roman" w:cs="Times New Roman"/>
          <w:sz w:val="24"/>
          <w:szCs w:val="24"/>
        </w:rPr>
        <w:t xml:space="preserve"> objective for France, Germany, the Netherlands and Sweden</w:t>
      </w:r>
      <w:r w:rsidR="00333590" w:rsidRPr="00462C0B">
        <w:rPr>
          <w:rFonts w:ascii="Times New Roman" w:hAnsi="Times New Roman" w:cs="Times New Roman"/>
          <w:sz w:val="24"/>
          <w:szCs w:val="24"/>
        </w:rPr>
        <w:t xml:space="preserve"> showed that </w:t>
      </w:r>
      <w:r w:rsidRPr="00462C0B">
        <w:rPr>
          <w:rFonts w:ascii="Times New Roman" w:hAnsi="Times New Roman" w:cs="Times New Roman"/>
          <w:sz w:val="24"/>
          <w:szCs w:val="24"/>
        </w:rPr>
        <w:t>comprehensive information on offset projects is not yet systematically collated, digitised and disseminated on a national scale; and cannot be accessed remotely</w:t>
      </w:r>
      <w:r w:rsidR="00333590" w:rsidRPr="00462C0B">
        <w:rPr>
          <w:rFonts w:ascii="Times New Roman" w:hAnsi="Times New Roman" w:cs="Times New Roman"/>
          <w:sz w:val="24"/>
          <w:szCs w:val="24"/>
        </w:rPr>
        <w:t xml:space="preserve"> (Bull </w:t>
      </w:r>
      <w:r w:rsidR="00333590" w:rsidRPr="00462C0B">
        <w:rPr>
          <w:rFonts w:ascii="Times New Roman" w:hAnsi="Times New Roman" w:cs="Times New Roman"/>
          <w:i/>
          <w:iCs/>
          <w:sz w:val="24"/>
          <w:szCs w:val="24"/>
        </w:rPr>
        <w:t>et al.</w:t>
      </w:r>
      <w:r w:rsidR="00333590" w:rsidRPr="00462C0B">
        <w:rPr>
          <w:rFonts w:ascii="Times New Roman" w:hAnsi="Times New Roman" w:cs="Times New Roman"/>
          <w:sz w:val="24"/>
          <w:szCs w:val="24"/>
        </w:rPr>
        <w:t xml:space="preserve"> 2018).</w:t>
      </w:r>
      <w:r w:rsidR="00067D22" w:rsidRPr="00462C0B">
        <w:rPr>
          <w:rFonts w:ascii="Times New Roman" w:hAnsi="Times New Roman" w:cs="Times New Roman"/>
          <w:sz w:val="24"/>
          <w:szCs w:val="24"/>
        </w:rPr>
        <w:t xml:space="preserve"> </w:t>
      </w:r>
    </w:p>
    <w:p w14:paraId="3413167B" w14:textId="15A134E6" w:rsidR="002D2B6E" w:rsidRDefault="002D2B6E" w:rsidP="00067D22">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Within the UK there is little information available on existing compensatory measures (zu Ermgassen </w:t>
      </w:r>
      <w:r w:rsidRPr="00462C0B">
        <w:rPr>
          <w:rFonts w:ascii="Times New Roman" w:hAnsi="Times New Roman" w:cs="Times New Roman"/>
          <w:i/>
          <w:iCs/>
          <w:sz w:val="24"/>
          <w:szCs w:val="24"/>
        </w:rPr>
        <w:t>et al</w:t>
      </w:r>
      <w:r w:rsidR="00067D22" w:rsidRPr="00462C0B">
        <w:rPr>
          <w:rFonts w:ascii="Times New Roman" w:hAnsi="Times New Roman" w:cs="Times New Roman"/>
          <w:i/>
          <w:iCs/>
          <w:sz w:val="24"/>
          <w:szCs w:val="24"/>
        </w:rPr>
        <w:t>.</w:t>
      </w:r>
      <w:r w:rsidRPr="00462C0B">
        <w:rPr>
          <w:rFonts w:ascii="Times New Roman" w:hAnsi="Times New Roman" w:cs="Times New Roman"/>
          <w:sz w:val="24"/>
          <w:szCs w:val="24"/>
        </w:rPr>
        <w:t xml:space="preserve"> 2021). Local authorities do not have the capacity to ensure the delivery of developer</w:t>
      </w:r>
      <w:r w:rsidR="00067D22" w:rsidRPr="00462C0B">
        <w:rPr>
          <w:rFonts w:ascii="Times New Roman" w:hAnsi="Times New Roman" w:cs="Times New Roman"/>
          <w:sz w:val="24"/>
          <w:szCs w:val="24"/>
        </w:rPr>
        <w:t>-</w:t>
      </w:r>
      <w:r w:rsidRPr="00462C0B">
        <w:rPr>
          <w:rFonts w:ascii="Times New Roman" w:hAnsi="Times New Roman" w:cs="Times New Roman"/>
          <w:sz w:val="24"/>
          <w:szCs w:val="24"/>
        </w:rPr>
        <w:t>owned compensation through regular monitoring</w:t>
      </w:r>
      <w:r w:rsidR="00067D22" w:rsidRPr="00462C0B">
        <w:rPr>
          <w:rFonts w:ascii="Times New Roman" w:hAnsi="Times New Roman" w:cs="Times New Roman"/>
          <w:sz w:val="24"/>
          <w:szCs w:val="24"/>
        </w:rPr>
        <w:t xml:space="preserve">. This makes it </w:t>
      </w:r>
      <w:proofErr w:type="gramStart"/>
      <w:r w:rsidR="00067D22" w:rsidRPr="00462C0B">
        <w:rPr>
          <w:rFonts w:ascii="Times New Roman" w:hAnsi="Times New Roman" w:cs="Times New Roman"/>
          <w:sz w:val="24"/>
          <w:szCs w:val="24"/>
        </w:rPr>
        <w:t>all the more</w:t>
      </w:r>
      <w:proofErr w:type="gramEnd"/>
      <w:r w:rsidR="00067D22" w:rsidRPr="00462C0B">
        <w:rPr>
          <w:rFonts w:ascii="Times New Roman" w:hAnsi="Times New Roman" w:cs="Times New Roman"/>
          <w:sz w:val="24"/>
          <w:szCs w:val="24"/>
        </w:rPr>
        <w:t xml:space="preserve"> </w:t>
      </w:r>
      <w:r w:rsidR="00A26799" w:rsidRPr="00462C0B">
        <w:rPr>
          <w:rFonts w:ascii="Times New Roman" w:hAnsi="Times New Roman" w:cs="Times New Roman"/>
          <w:sz w:val="24"/>
          <w:szCs w:val="24"/>
        </w:rPr>
        <w:t>likely that the</w:t>
      </w:r>
      <w:r w:rsidRPr="00462C0B">
        <w:rPr>
          <w:rFonts w:ascii="Times New Roman" w:hAnsi="Times New Roman" w:cs="Times New Roman"/>
          <w:sz w:val="24"/>
          <w:szCs w:val="24"/>
        </w:rPr>
        <w:t xml:space="preserve"> </w:t>
      </w:r>
      <w:r w:rsidR="00A26799" w:rsidRPr="00462C0B">
        <w:rPr>
          <w:rFonts w:ascii="Times New Roman" w:hAnsi="Times New Roman" w:cs="Times New Roman"/>
          <w:sz w:val="24"/>
          <w:szCs w:val="24"/>
        </w:rPr>
        <w:t xml:space="preserve">same </w:t>
      </w:r>
      <w:r w:rsidRPr="00462C0B">
        <w:rPr>
          <w:rFonts w:ascii="Times New Roman" w:hAnsi="Times New Roman" w:cs="Times New Roman"/>
          <w:sz w:val="24"/>
          <w:szCs w:val="24"/>
        </w:rPr>
        <w:t xml:space="preserve">local authorities </w:t>
      </w:r>
      <w:r w:rsidR="00A26799" w:rsidRPr="00462C0B">
        <w:rPr>
          <w:rFonts w:ascii="Times New Roman" w:hAnsi="Times New Roman" w:cs="Times New Roman"/>
          <w:sz w:val="24"/>
          <w:szCs w:val="24"/>
        </w:rPr>
        <w:t xml:space="preserve">will struggle to undertake </w:t>
      </w:r>
      <w:r w:rsidRPr="00462C0B">
        <w:rPr>
          <w:rFonts w:ascii="Times New Roman" w:hAnsi="Times New Roman" w:cs="Times New Roman"/>
          <w:sz w:val="24"/>
          <w:szCs w:val="24"/>
        </w:rPr>
        <w:t xml:space="preserve">the monitoring and enforcement needed to ensure delivery in a market for biodiversity offsets (Sullivan and Hannis 2015). A </w:t>
      </w:r>
      <w:r w:rsidRPr="00462C0B">
        <w:rPr>
          <w:rFonts w:ascii="Times New Roman" w:hAnsi="Times New Roman" w:cs="Times New Roman"/>
          <w:sz w:val="24"/>
          <w:szCs w:val="24"/>
        </w:rPr>
        <w:lastRenderedPageBreak/>
        <w:t>similar story is found within the French application of the mitigation hierarchy (</w:t>
      </w:r>
      <w:proofErr w:type="spellStart"/>
      <w:r w:rsidRPr="00462C0B">
        <w:rPr>
          <w:rFonts w:ascii="Times New Roman" w:hAnsi="Times New Roman" w:cs="Times New Roman"/>
          <w:sz w:val="24"/>
          <w:szCs w:val="24"/>
        </w:rPr>
        <w:t>Gelot</w:t>
      </w:r>
      <w:proofErr w:type="spellEnd"/>
      <w:r w:rsidRPr="00462C0B">
        <w:rPr>
          <w:rFonts w:ascii="Times New Roman" w:hAnsi="Times New Roman" w:cs="Times New Roman"/>
          <w:sz w:val="24"/>
          <w:szCs w:val="24"/>
        </w:rPr>
        <w:t xml:space="preserve"> and Bigard 2021). There is a lack of funding for regulatory agencies to adequately monitor and enforce compensatory mitigation and the authors question whether the current policy is achieving </w:t>
      </w:r>
      <w:r w:rsidR="00A26799" w:rsidRPr="00462C0B">
        <w:rPr>
          <w:rFonts w:ascii="Times New Roman" w:hAnsi="Times New Roman" w:cs="Times New Roman"/>
          <w:sz w:val="24"/>
          <w:szCs w:val="24"/>
        </w:rPr>
        <w:t>no net loss</w:t>
      </w:r>
      <w:r w:rsidRPr="00462C0B">
        <w:rPr>
          <w:rFonts w:ascii="Times New Roman" w:hAnsi="Times New Roman" w:cs="Times New Roman"/>
          <w:sz w:val="24"/>
          <w:szCs w:val="24"/>
        </w:rPr>
        <w:t xml:space="preserve">. Indeed, it is possible that </w:t>
      </w:r>
      <w:r w:rsidR="00A26799" w:rsidRPr="00462C0B">
        <w:rPr>
          <w:rFonts w:ascii="Times New Roman" w:hAnsi="Times New Roman" w:cs="Times New Roman"/>
          <w:sz w:val="24"/>
          <w:szCs w:val="24"/>
        </w:rPr>
        <w:t xml:space="preserve">the </w:t>
      </w:r>
      <w:r w:rsidRPr="00462C0B">
        <w:rPr>
          <w:rFonts w:ascii="Times New Roman" w:hAnsi="Times New Roman" w:cs="Times New Roman"/>
          <w:sz w:val="24"/>
          <w:szCs w:val="24"/>
        </w:rPr>
        <w:t xml:space="preserve">high costs of enforcement associated with offset markets may be so great as to negate any social surplus created through trading in mitigation credits (Hallwood 2007). </w:t>
      </w:r>
    </w:p>
    <w:p w14:paraId="0FA7814F" w14:textId="5D209788" w:rsidR="00333590" w:rsidRPr="00E62491" w:rsidRDefault="003C3CBE" w:rsidP="00E62491">
      <w:pPr>
        <w:spacing w:line="360" w:lineRule="auto"/>
        <w:rPr>
          <w:rFonts w:ascii="Times New Roman" w:hAnsi="Times New Roman" w:cs="Times New Roman"/>
          <w:sz w:val="24"/>
          <w:szCs w:val="24"/>
        </w:rPr>
      </w:pPr>
      <w:r>
        <w:rPr>
          <w:rFonts w:ascii="Times New Roman" w:hAnsi="Times New Roman" w:cs="Times New Roman"/>
          <w:sz w:val="24"/>
          <w:szCs w:val="24"/>
        </w:rPr>
        <w:t>It is possible to track c</w:t>
      </w:r>
      <w:r w:rsidR="00012183" w:rsidRPr="00462C0B">
        <w:rPr>
          <w:rFonts w:ascii="Times New Roman" w:hAnsi="Times New Roman" w:cs="Times New Roman"/>
          <w:sz w:val="24"/>
          <w:szCs w:val="24"/>
        </w:rPr>
        <w:t xml:space="preserve">redit sales within the USA </w:t>
      </w:r>
      <w:r w:rsidR="00AE6F68" w:rsidRPr="00462C0B">
        <w:rPr>
          <w:rFonts w:ascii="Times New Roman" w:hAnsi="Times New Roman" w:cs="Times New Roman"/>
          <w:sz w:val="24"/>
          <w:szCs w:val="24"/>
        </w:rPr>
        <w:t xml:space="preserve">wetland mitigation bank market </w:t>
      </w:r>
      <w:r w:rsidR="00012183" w:rsidRPr="00462C0B">
        <w:rPr>
          <w:rFonts w:ascii="Times New Roman" w:hAnsi="Times New Roman" w:cs="Times New Roman"/>
          <w:sz w:val="24"/>
          <w:szCs w:val="24"/>
        </w:rPr>
        <w:t xml:space="preserve">via the Regulatory In-Lieu Fee and Bank Information Tracking System (RIBITS) and it is this information that has formed the case study analyses previously discussed in this paper. </w:t>
      </w:r>
      <w:r>
        <w:rPr>
          <w:rFonts w:ascii="Times New Roman" w:hAnsi="Times New Roman" w:cs="Times New Roman"/>
          <w:sz w:val="24"/>
          <w:szCs w:val="24"/>
        </w:rPr>
        <w:t>It should be noted that it is not fully comprehensive.</w:t>
      </w:r>
    </w:p>
    <w:p w14:paraId="33FAA4D5" w14:textId="2E1FFEDA" w:rsidR="00A65E8F" w:rsidRPr="00462C0B" w:rsidRDefault="00195AA7" w:rsidP="00AB2000">
      <w:pPr>
        <w:pStyle w:val="Heading2"/>
      </w:pPr>
      <w:r w:rsidRPr="00462C0B">
        <w:t xml:space="preserve">Offset </w:t>
      </w:r>
      <w:r w:rsidR="008C4E25" w:rsidRPr="00462C0B">
        <w:t xml:space="preserve">metrics and multipliers </w:t>
      </w:r>
    </w:p>
    <w:p w14:paraId="147CCC2C" w14:textId="1707D71A" w:rsidR="003A1400" w:rsidRPr="00462C0B" w:rsidRDefault="00E2737F" w:rsidP="003B54F5">
      <w:pPr>
        <w:spacing w:line="360" w:lineRule="auto"/>
        <w:rPr>
          <w:rFonts w:ascii="Times New Roman" w:hAnsi="Times New Roman" w:cs="Times New Roman"/>
          <w:sz w:val="24"/>
          <w:szCs w:val="24"/>
        </w:rPr>
      </w:pPr>
      <w:r w:rsidRPr="00462C0B">
        <w:rPr>
          <w:rFonts w:ascii="Times New Roman" w:hAnsi="Times New Roman" w:cs="Times New Roman"/>
          <w:sz w:val="24"/>
          <w:szCs w:val="24"/>
        </w:rPr>
        <w:t>The choice of the metric</w:t>
      </w:r>
      <w:r w:rsidR="008C4E25" w:rsidRPr="00462C0B">
        <w:rPr>
          <w:rFonts w:ascii="Times New Roman" w:hAnsi="Times New Roman" w:cs="Times New Roman"/>
          <w:sz w:val="24"/>
          <w:szCs w:val="24"/>
        </w:rPr>
        <w:t xml:space="preserve"> and subsequently the multipliers applied to trades are </w:t>
      </w:r>
      <w:r w:rsidRPr="00462C0B">
        <w:rPr>
          <w:rFonts w:ascii="Times New Roman" w:hAnsi="Times New Roman" w:cs="Times New Roman"/>
          <w:sz w:val="24"/>
          <w:szCs w:val="24"/>
        </w:rPr>
        <w:t xml:space="preserve">critical </w:t>
      </w:r>
      <w:r w:rsidR="008C4E25" w:rsidRPr="00462C0B">
        <w:rPr>
          <w:rFonts w:ascii="Times New Roman" w:hAnsi="Times New Roman" w:cs="Times New Roman"/>
          <w:sz w:val="24"/>
          <w:szCs w:val="24"/>
        </w:rPr>
        <w:t>in the design and successful implementation of markets for biodiversity offsets.</w:t>
      </w:r>
      <w:r w:rsidRPr="00462C0B">
        <w:rPr>
          <w:rFonts w:ascii="Times New Roman" w:hAnsi="Times New Roman" w:cs="Times New Roman"/>
          <w:sz w:val="24"/>
          <w:szCs w:val="24"/>
        </w:rPr>
        <w:t xml:space="preserve"> </w:t>
      </w:r>
      <w:r w:rsidR="00B41FCE" w:rsidRPr="00462C0B">
        <w:rPr>
          <w:rFonts w:ascii="Times New Roman" w:hAnsi="Times New Roman" w:cs="Times New Roman"/>
          <w:sz w:val="24"/>
          <w:szCs w:val="24"/>
        </w:rPr>
        <w:t xml:space="preserve">The metric is </w:t>
      </w:r>
      <w:r w:rsidRPr="00462C0B">
        <w:rPr>
          <w:rFonts w:ascii="Times New Roman" w:hAnsi="Times New Roman" w:cs="Times New Roman"/>
          <w:sz w:val="24"/>
          <w:szCs w:val="24"/>
        </w:rPr>
        <w:t xml:space="preserve">the unit of currency for what will be </w:t>
      </w:r>
      <w:proofErr w:type="gramStart"/>
      <w:r w:rsidRPr="00462C0B">
        <w:rPr>
          <w:rFonts w:ascii="Times New Roman" w:hAnsi="Times New Roman" w:cs="Times New Roman"/>
          <w:sz w:val="24"/>
          <w:szCs w:val="24"/>
        </w:rPr>
        <w:t>traded</w:t>
      </w:r>
      <w:proofErr w:type="gramEnd"/>
      <w:r w:rsidR="00B41FCE" w:rsidRPr="00462C0B">
        <w:rPr>
          <w:rFonts w:ascii="Times New Roman" w:hAnsi="Times New Roman" w:cs="Times New Roman"/>
          <w:sz w:val="24"/>
          <w:szCs w:val="24"/>
        </w:rPr>
        <w:t xml:space="preserve"> and t</w:t>
      </w:r>
      <w:r w:rsidRPr="00462C0B">
        <w:rPr>
          <w:rFonts w:ascii="Times New Roman" w:hAnsi="Times New Roman" w:cs="Times New Roman"/>
          <w:sz w:val="24"/>
          <w:szCs w:val="24"/>
        </w:rPr>
        <w:t xml:space="preserve">he </w:t>
      </w:r>
      <w:r w:rsidR="00D31548" w:rsidRPr="00462C0B">
        <w:rPr>
          <w:rFonts w:ascii="Times New Roman" w:hAnsi="Times New Roman" w:cs="Times New Roman"/>
          <w:sz w:val="24"/>
          <w:szCs w:val="24"/>
        </w:rPr>
        <w:t>choice varies from relatively simple (</w:t>
      </w:r>
      <w:r w:rsidR="00B41FCE" w:rsidRPr="00462C0B">
        <w:rPr>
          <w:rFonts w:ascii="Times New Roman" w:hAnsi="Times New Roman" w:cs="Times New Roman"/>
          <w:sz w:val="24"/>
          <w:szCs w:val="24"/>
        </w:rPr>
        <w:t xml:space="preserve">e.g. </w:t>
      </w:r>
      <w:r w:rsidR="00D31548" w:rsidRPr="00462C0B">
        <w:rPr>
          <w:rFonts w:ascii="Times New Roman" w:hAnsi="Times New Roman" w:cs="Times New Roman"/>
          <w:sz w:val="24"/>
          <w:szCs w:val="24"/>
        </w:rPr>
        <w:t>habitat or a single species) to complex (</w:t>
      </w:r>
      <w:r w:rsidR="00B41FCE" w:rsidRPr="00462C0B">
        <w:rPr>
          <w:rFonts w:ascii="Times New Roman" w:hAnsi="Times New Roman" w:cs="Times New Roman"/>
          <w:sz w:val="24"/>
          <w:szCs w:val="24"/>
        </w:rPr>
        <w:t xml:space="preserve">e.g. </w:t>
      </w:r>
      <w:r w:rsidR="000828D7" w:rsidRPr="00462C0B">
        <w:rPr>
          <w:rFonts w:ascii="Times New Roman" w:hAnsi="Times New Roman" w:cs="Times New Roman"/>
          <w:sz w:val="24"/>
          <w:szCs w:val="24"/>
        </w:rPr>
        <w:t>ecological functioning or ecosystem services</w:t>
      </w:r>
      <w:r w:rsidR="00D31548" w:rsidRPr="00462C0B">
        <w:rPr>
          <w:rFonts w:ascii="Times New Roman" w:hAnsi="Times New Roman" w:cs="Times New Roman"/>
          <w:sz w:val="24"/>
          <w:szCs w:val="24"/>
        </w:rPr>
        <w:t>)</w:t>
      </w:r>
      <w:r w:rsidR="00B41FCE" w:rsidRPr="00462C0B">
        <w:rPr>
          <w:rFonts w:ascii="Times New Roman" w:hAnsi="Times New Roman" w:cs="Times New Roman"/>
          <w:sz w:val="24"/>
          <w:szCs w:val="24"/>
        </w:rPr>
        <w:t xml:space="preserve">. </w:t>
      </w:r>
      <w:r w:rsidR="00FD71B7" w:rsidRPr="00462C0B">
        <w:rPr>
          <w:rFonts w:ascii="Times New Roman" w:hAnsi="Times New Roman" w:cs="Times New Roman"/>
          <w:sz w:val="24"/>
          <w:szCs w:val="24"/>
        </w:rPr>
        <w:t xml:space="preserve">The multiplier or trading ratio is applied to account for ecological differences between the offset bank and the development site. How many credits the developer needs to purchase is dependent on the ratio of ecological benefits between the offset site and the developed site (McKenney and Kiesecker 2010). Additionally, trading ratios </w:t>
      </w:r>
      <w:r w:rsidR="004618DD" w:rsidRPr="00462C0B">
        <w:rPr>
          <w:rFonts w:ascii="Times New Roman" w:hAnsi="Times New Roman" w:cs="Times New Roman"/>
          <w:sz w:val="24"/>
          <w:szCs w:val="24"/>
        </w:rPr>
        <w:t>can be</w:t>
      </w:r>
      <w:r w:rsidR="0008315C" w:rsidRPr="00462C0B">
        <w:rPr>
          <w:rFonts w:ascii="Times New Roman" w:hAnsi="Times New Roman" w:cs="Times New Roman"/>
          <w:sz w:val="24"/>
          <w:szCs w:val="24"/>
        </w:rPr>
        <w:t xml:space="preserve"> </w:t>
      </w:r>
      <w:r w:rsidR="00FD71B7" w:rsidRPr="00462C0B">
        <w:rPr>
          <w:rFonts w:ascii="Times New Roman" w:hAnsi="Times New Roman" w:cs="Times New Roman"/>
          <w:sz w:val="24"/>
          <w:szCs w:val="24"/>
        </w:rPr>
        <w:t>used to account for uncertainties in the definition and measurement of biodiversity</w:t>
      </w:r>
      <w:r w:rsidR="0008315C" w:rsidRPr="00462C0B">
        <w:rPr>
          <w:rFonts w:ascii="Times New Roman" w:hAnsi="Times New Roman" w:cs="Times New Roman"/>
          <w:sz w:val="24"/>
          <w:szCs w:val="24"/>
        </w:rPr>
        <w:t>, the delivery of ecological outcomes and waiting time</w:t>
      </w:r>
      <w:r w:rsidR="00CC0F14" w:rsidRPr="00462C0B">
        <w:rPr>
          <w:rFonts w:ascii="Times New Roman" w:hAnsi="Times New Roman" w:cs="Times New Roman"/>
          <w:sz w:val="24"/>
          <w:szCs w:val="24"/>
        </w:rPr>
        <w:t>s</w:t>
      </w:r>
      <w:r w:rsidR="00FD71B7" w:rsidRPr="00462C0B">
        <w:rPr>
          <w:rFonts w:ascii="Times New Roman" w:hAnsi="Times New Roman" w:cs="Times New Roman"/>
          <w:sz w:val="24"/>
          <w:szCs w:val="24"/>
        </w:rPr>
        <w:t xml:space="preserve"> for future gains (Moilanen </w:t>
      </w:r>
      <w:r w:rsidR="00FD71B7" w:rsidRPr="00462C0B">
        <w:rPr>
          <w:rFonts w:ascii="Times New Roman" w:hAnsi="Times New Roman" w:cs="Times New Roman"/>
          <w:i/>
          <w:iCs/>
          <w:sz w:val="24"/>
          <w:szCs w:val="24"/>
        </w:rPr>
        <w:t>et al</w:t>
      </w:r>
      <w:r w:rsidR="00FD71B7" w:rsidRPr="00462C0B">
        <w:rPr>
          <w:rFonts w:ascii="Times New Roman" w:hAnsi="Times New Roman" w:cs="Times New Roman"/>
          <w:sz w:val="24"/>
          <w:szCs w:val="24"/>
        </w:rPr>
        <w:t xml:space="preserve">. 2009; Bull </w:t>
      </w:r>
      <w:r w:rsidR="00FD71B7" w:rsidRPr="00462C0B">
        <w:rPr>
          <w:rFonts w:ascii="Times New Roman" w:hAnsi="Times New Roman" w:cs="Times New Roman"/>
          <w:i/>
          <w:iCs/>
          <w:sz w:val="24"/>
          <w:szCs w:val="24"/>
        </w:rPr>
        <w:t>et al</w:t>
      </w:r>
      <w:r w:rsidR="00FD71B7" w:rsidRPr="00462C0B">
        <w:rPr>
          <w:rFonts w:ascii="Times New Roman" w:hAnsi="Times New Roman" w:cs="Times New Roman"/>
          <w:sz w:val="24"/>
          <w:szCs w:val="24"/>
        </w:rPr>
        <w:t xml:space="preserve">. 2013). </w:t>
      </w:r>
      <w:r w:rsidR="00667944" w:rsidRPr="00462C0B">
        <w:rPr>
          <w:rFonts w:ascii="Times New Roman" w:hAnsi="Times New Roman" w:cs="Times New Roman"/>
          <w:sz w:val="24"/>
          <w:szCs w:val="24"/>
        </w:rPr>
        <w:t xml:space="preserve">There are </w:t>
      </w:r>
      <w:proofErr w:type="gramStart"/>
      <w:r w:rsidR="00667944" w:rsidRPr="00462C0B">
        <w:rPr>
          <w:rFonts w:ascii="Times New Roman" w:hAnsi="Times New Roman" w:cs="Times New Roman"/>
          <w:sz w:val="24"/>
          <w:szCs w:val="24"/>
        </w:rPr>
        <w:t>a large number of</w:t>
      </w:r>
      <w:proofErr w:type="gramEnd"/>
      <w:r w:rsidR="00667944" w:rsidRPr="00462C0B">
        <w:rPr>
          <w:rFonts w:ascii="Times New Roman" w:hAnsi="Times New Roman" w:cs="Times New Roman"/>
          <w:sz w:val="24"/>
          <w:szCs w:val="24"/>
        </w:rPr>
        <w:t xml:space="preserve"> papers that discuss and review the choice of metric</w:t>
      </w:r>
      <w:r w:rsidR="002E0732" w:rsidRPr="00462C0B">
        <w:rPr>
          <w:rFonts w:ascii="Times New Roman" w:hAnsi="Times New Roman" w:cs="Times New Roman"/>
          <w:sz w:val="24"/>
          <w:szCs w:val="24"/>
        </w:rPr>
        <w:t>s</w:t>
      </w:r>
      <w:r w:rsidR="00A31A73" w:rsidRPr="00462C0B">
        <w:rPr>
          <w:rFonts w:ascii="Times New Roman" w:hAnsi="Times New Roman" w:cs="Times New Roman"/>
          <w:sz w:val="24"/>
          <w:szCs w:val="24"/>
        </w:rPr>
        <w:t xml:space="preserve"> and multipliers</w:t>
      </w:r>
      <w:r w:rsidR="00667944" w:rsidRPr="00462C0B">
        <w:rPr>
          <w:rFonts w:ascii="Times New Roman" w:hAnsi="Times New Roman" w:cs="Times New Roman"/>
          <w:sz w:val="24"/>
          <w:szCs w:val="24"/>
        </w:rPr>
        <w:t xml:space="preserve"> from the ecological perspective that we do not include in this review </w:t>
      </w:r>
      <w:r w:rsidR="002F12DD" w:rsidRPr="00462C0B">
        <w:rPr>
          <w:rFonts w:ascii="Times New Roman" w:hAnsi="Times New Roman" w:cs="Times New Roman"/>
          <w:sz w:val="24"/>
          <w:szCs w:val="24"/>
        </w:rPr>
        <w:t>as the trading and incentivization aspect is not discussed</w:t>
      </w:r>
      <w:r w:rsidR="001A3EB1" w:rsidRPr="00462C0B">
        <w:rPr>
          <w:rFonts w:ascii="Times New Roman" w:hAnsi="Times New Roman" w:cs="Times New Roman"/>
          <w:sz w:val="24"/>
          <w:szCs w:val="24"/>
        </w:rPr>
        <w:t xml:space="preserve"> (see Robertson 2004</w:t>
      </w:r>
      <w:r w:rsidR="0046711E" w:rsidRPr="00462C0B">
        <w:rPr>
          <w:rFonts w:ascii="Times New Roman" w:hAnsi="Times New Roman" w:cs="Times New Roman"/>
          <w:sz w:val="24"/>
          <w:szCs w:val="24"/>
        </w:rPr>
        <w:t xml:space="preserve">; McCarthy </w:t>
      </w:r>
      <w:r w:rsidR="0046711E" w:rsidRPr="00462C0B">
        <w:rPr>
          <w:rFonts w:ascii="Times New Roman" w:hAnsi="Times New Roman" w:cs="Times New Roman"/>
          <w:i/>
          <w:iCs/>
          <w:sz w:val="24"/>
          <w:szCs w:val="24"/>
        </w:rPr>
        <w:t xml:space="preserve">et al. </w:t>
      </w:r>
      <w:r w:rsidR="0046711E" w:rsidRPr="00462C0B">
        <w:rPr>
          <w:rFonts w:ascii="Times New Roman" w:hAnsi="Times New Roman" w:cs="Times New Roman"/>
          <w:sz w:val="24"/>
          <w:szCs w:val="24"/>
        </w:rPr>
        <w:t xml:space="preserve">2004; </w:t>
      </w:r>
      <w:proofErr w:type="spellStart"/>
      <w:r w:rsidR="0046711E" w:rsidRPr="00462C0B">
        <w:rPr>
          <w:rFonts w:ascii="Times New Roman" w:hAnsi="Times New Roman" w:cs="Times New Roman"/>
          <w:sz w:val="24"/>
          <w:szCs w:val="24"/>
        </w:rPr>
        <w:t>Quetier</w:t>
      </w:r>
      <w:proofErr w:type="spellEnd"/>
      <w:r w:rsidR="0046711E" w:rsidRPr="00462C0B">
        <w:rPr>
          <w:rFonts w:ascii="Times New Roman" w:hAnsi="Times New Roman" w:cs="Times New Roman"/>
          <w:sz w:val="24"/>
          <w:szCs w:val="24"/>
        </w:rPr>
        <w:t xml:space="preserve"> and </w:t>
      </w:r>
      <w:proofErr w:type="spellStart"/>
      <w:r w:rsidR="0046711E" w:rsidRPr="00462C0B">
        <w:rPr>
          <w:rFonts w:ascii="Times New Roman" w:hAnsi="Times New Roman" w:cs="Times New Roman"/>
          <w:sz w:val="24"/>
          <w:szCs w:val="24"/>
        </w:rPr>
        <w:t>Lavorel</w:t>
      </w:r>
      <w:proofErr w:type="spellEnd"/>
      <w:r w:rsidR="0046711E" w:rsidRPr="00462C0B">
        <w:rPr>
          <w:rFonts w:ascii="Times New Roman" w:hAnsi="Times New Roman" w:cs="Times New Roman"/>
          <w:sz w:val="24"/>
          <w:szCs w:val="24"/>
        </w:rPr>
        <w:t xml:space="preserve"> 2011; Habib </w:t>
      </w:r>
      <w:r w:rsidR="0046711E" w:rsidRPr="00462C0B">
        <w:rPr>
          <w:rFonts w:ascii="Times New Roman" w:hAnsi="Times New Roman" w:cs="Times New Roman"/>
          <w:i/>
          <w:iCs/>
          <w:sz w:val="24"/>
          <w:szCs w:val="24"/>
        </w:rPr>
        <w:t>et al.</w:t>
      </w:r>
      <w:r w:rsidR="0046711E" w:rsidRPr="00462C0B">
        <w:rPr>
          <w:rFonts w:ascii="Times New Roman" w:hAnsi="Times New Roman" w:cs="Times New Roman"/>
          <w:sz w:val="24"/>
          <w:szCs w:val="24"/>
        </w:rPr>
        <w:t xml:space="preserve"> 2013</w:t>
      </w:r>
      <w:r w:rsidR="00A31A73" w:rsidRPr="00462C0B">
        <w:rPr>
          <w:rFonts w:ascii="Times New Roman" w:hAnsi="Times New Roman" w:cs="Times New Roman"/>
          <w:sz w:val="24"/>
          <w:szCs w:val="24"/>
        </w:rPr>
        <w:t xml:space="preserve">; </w:t>
      </w:r>
      <w:r w:rsidR="00922FD6" w:rsidRPr="00462C0B">
        <w:rPr>
          <w:rFonts w:ascii="Times New Roman" w:hAnsi="Times New Roman" w:cs="Times New Roman"/>
          <w:sz w:val="24"/>
          <w:szCs w:val="24"/>
        </w:rPr>
        <w:t xml:space="preserve">Maron </w:t>
      </w:r>
      <w:r w:rsidR="00922FD6" w:rsidRPr="00462C0B">
        <w:rPr>
          <w:rFonts w:ascii="Times New Roman" w:hAnsi="Times New Roman" w:cs="Times New Roman"/>
          <w:i/>
          <w:iCs/>
          <w:sz w:val="24"/>
          <w:szCs w:val="24"/>
        </w:rPr>
        <w:t>et al.</w:t>
      </w:r>
      <w:r w:rsidR="00922FD6" w:rsidRPr="00462C0B">
        <w:rPr>
          <w:rFonts w:ascii="Times New Roman" w:hAnsi="Times New Roman" w:cs="Times New Roman"/>
          <w:sz w:val="24"/>
          <w:szCs w:val="24"/>
        </w:rPr>
        <w:t xml:space="preserve"> 2012;</w:t>
      </w:r>
      <w:r w:rsidR="00560A55" w:rsidRPr="00462C0B">
        <w:rPr>
          <w:rFonts w:ascii="Times New Roman" w:hAnsi="Times New Roman" w:cs="Times New Roman"/>
          <w:sz w:val="24"/>
          <w:szCs w:val="24"/>
        </w:rPr>
        <w:t xml:space="preserve"> </w:t>
      </w:r>
      <w:r w:rsidR="002E0732" w:rsidRPr="00462C0B">
        <w:rPr>
          <w:rFonts w:ascii="Times New Roman" w:hAnsi="Times New Roman" w:cs="Times New Roman"/>
          <w:sz w:val="24"/>
          <w:szCs w:val="24"/>
        </w:rPr>
        <w:t xml:space="preserve">Maron </w:t>
      </w:r>
      <w:r w:rsidR="002E0732" w:rsidRPr="00462C0B">
        <w:rPr>
          <w:rFonts w:ascii="Times New Roman" w:hAnsi="Times New Roman" w:cs="Times New Roman"/>
          <w:i/>
          <w:iCs/>
          <w:sz w:val="24"/>
          <w:szCs w:val="24"/>
        </w:rPr>
        <w:t>et al</w:t>
      </w:r>
      <w:r w:rsidR="002E0732" w:rsidRPr="00462C0B">
        <w:rPr>
          <w:rFonts w:ascii="Times New Roman" w:hAnsi="Times New Roman" w:cs="Times New Roman"/>
          <w:sz w:val="24"/>
          <w:szCs w:val="24"/>
        </w:rPr>
        <w:t xml:space="preserve">. 2016; Gibbons </w:t>
      </w:r>
      <w:r w:rsidR="002E0732" w:rsidRPr="00462C0B">
        <w:rPr>
          <w:rFonts w:ascii="Times New Roman" w:hAnsi="Times New Roman" w:cs="Times New Roman"/>
          <w:i/>
          <w:iCs/>
          <w:sz w:val="24"/>
          <w:szCs w:val="24"/>
        </w:rPr>
        <w:t>et al</w:t>
      </w:r>
      <w:r w:rsidR="002E0732" w:rsidRPr="00462C0B">
        <w:rPr>
          <w:rFonts w:ascii="Times New Roman" w:hAnsi="Times New Roman" w:cs="Times New Roman"/>
          <w:sz w:val="24"/>
          <w:szCs w:val="24"/>
        </w:rPr>
        <w:t xml:space="preserve">. 2016). </w:t>
      </w:r>
    </w:p>
    <w:p w14:paraId="369B07F7" w14:textId="32C125FA" w:rsidR="005F7047" w:rsidRPr="00462C0B" w:rsidRDefault="003B54F5" w:rsidP="00365E75">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Within our literature review, we identified 10 papers that explicitly discussed the choice of the offset metric and multipliers </w:t>
      </w:r>
      <w:r w:rsidR="00CC0F14" w:rsidRPr="00462C0B">
        <w:rPr>
          <w:rFonts w:ascii="Times New Roman" w:hAnsi="Times New Roman" w:cs="Times New Roman"/>
          <w:sz w:val="24"/>
          <w:szCs w:val="24"/>
        </w:rPr>
        <w:t xml:space="preserve">in terms of </w:t>
      </w:r>
      <w:r w:rsidRPr="00462C0B">
        <w:rPr>
          <w:rFonts w:ascii="Times New Roman" w:hAnsi="Times New Roman" w:cs="Times New Roman"/>
          <w:sz w:val="24"/>
          <w:szCs w:val="24"/>
        </w:rPr>
        <w:t xml:space="preserve">their effect on offset trading. </w:t>
      </w:r>
      <w:r w:rsidR="003A1400" w:rsidRPr="00462C0B">
        <w:rPr>
          <w:rFonts w:ascii="Times New Roman" w:hAnsi="Times New Roman" w:cs="Times New Roman"/>
          <w:sz w:val="24"/>
          <w:szCs w:val="24"/>
        </w:rPr>
        <w:t>The majority of these were from the environmental economics literature</w:t>
      </w:r>
      <w:r w:rsidR="001D252C" w:rsidRPr="00462C0B">
        <w:rPr>
          <w:rFonts w:ascii="Times New Roman" w:hAnsi="Times New Roman" w:cs="Times New Roman"/>
          <w:sz w:val="24"/>
          <w:szCs w:val="24"/>
        </w:rPr>
        <w:t xml:space="preserve"> and applied ecological-economic models (optimization and agent</w:t>
      </w:r>
      <w:r w:rsidR="00322A00" w:rsidRPr="00462C0B">
        <w:rPr>
          <w:rFonts w:ascii="Times New Roman" w:hAnsi="Times New Roman" w:cs="Times New Roman"/>
          <w:sz w:val="24"/>
          <w:szCs w:val="24"/>
        </w:rPr>
        <w:t>-</w:t>
      </w:r>
      <w:r w:rsidR="001D252C" w:rsidRPr="00462C0B">
        <w:rPr>
          <w:rFonts w:ascii="Times New Roman" w:hAnsi="Times New Roman" w:cs="Times New Roman"/>
          <w:sz w:val="24"/>
          <w:szCs w:val="24"/>
        </w:rPr>
        <w:t xml:space="preserve">based models) </w:t>
      </w:r>
      <w:r w:rsidR="00322A00" w:rsidRPr="00462C0B">
        <w:rPr>
          <w:rFonts w:ascii="Times New Roman" w:hAnsi="Times New Roman" w:cs="Times New Roman"/>
          <w:sz w:val="24"/>
          <w:szCs w:val="24"/>
        </w:rPr>
        <w:t xml:space="preserve">to analyse how alternative metrics and trading ratios influenced economic outcomes (the number of participants in the market and </w:t>
      </w:r>
      <w:r w:rsidR="00322A00" w:rsidRPr="00462C0B">
        <w:rPr>
          <w:rFonts w:ascii="Times New Roman" w:hAnsi="Times New Roman" w:cs="Times New Roman"/>
          <w:sz w:val="24"/>
          <w:szCs w:val="24"/>
        </w:rPr>
        <w:lastRenderedPageBreak/>
        <w:t>subsequently the number of trades) and ecological outcomes (the achievement of no net loss or net gain)</w:t>
      </w:r>
      <w:r w:rsidR="0097630E" w:rsidRPr="00462C0B">
        <w:rPr>
          <w:rFonts w:ascii="Times New Roman" w:hAnsi="Times New Roman" w:cs="Times New Roman"/>
          <w:sz w:val="24"/>
          <w:szCs w:val="24"/>
        </w:rPr>
        <w:t xml:space="preserve"> (</w:t>
      </w:r>
      <w:r w:rsidR="004E3711" w:rsidRPr="00462C0B">
        <w:rPr>
          <w:rFonts w:ascii="Times New Roman" w:hAnsi="Times New Roman" w:cs="Times New Roman"/>
          <w:sz w:val="24"/>
          <w:szCs w:val="24"/>
        </w:rPr>
        <w:t xml:space="preserve">Heal 2003; </w:t>
      </w:r>
      <w:r w:rsidR="0097630E" w:rsidRPr="00462C0B">
        <w:rPr>
          <w:rFonts w:ascii="Times New Roman" w:hAnsi="Times New Roman" w:cs="Times New Roman"/>
          <w:color w:val="000000" w:themeColor="text1"/>
          <w:sz w:val="24"/>
          <w:szCs w:val="24"/>
        </w:rPr>
        <w:t xml:space="preserve">Doherty </w:t>
      </w:r>
      <w:r w:rsidR="0097630E" w:rsidRPr="00462C0B">
        <w:rPr>
          <w:rFonts w:ascii="Times New Roman" w:hAnsi="Times New Roman" w:cs="Times New Roman"/>
          <w:i/>
          <w:iCs/>
          <w:color w:val="000000" w:themeColor="text1"/>
          <w:sz w:val="24"/>
          <w:szCs w:val="24"/>
        </w:rPr>
        <w:t xml:space="preserve">et </w:t>
      </w:r>
      <w:r w:rsidR="0097630E" w:rsidRPr="00462C0B">
        <w:rPr>
          <w:rFonts w:ascii="Times New Roman" w:hAnsi="Times New Roman" w:cs="Times New Roman"/>
          <w:color w:val="000000" w:themeColor="text1"/>
          <w:sz w:val="24"/>
          <w:szCs w:val="24"/>
        </w:rPr>
        <w:t xml:space="preserve">al 2010; Doyle and Yates 2010; Kangas and Ollikainen 2019; Simpson </w:t>
      </w:r>
      <w:r w:rsidR="0097630E" w:rsidRPr="00462C0B">
        <w:rPr>
          <w:rFonts w:ascii="Times New Roman" w:hAnsi="Times New Roman" w:cs="Times New Roman"/>
          <w:i/>
          <w:color w:val="000000" w:themeColor="text1"/>
          <w:sz w:val="24"/>
          <w:szCs w:val="24"/>
        </w:rPr>
        <w:t>et al.</w:t>
      </w:r>
      <w:r w:rsidR="0097630E" w:rsidRPr="00462C0B">
        <w:rPr>
          <w:rFonts w:ascii="Times New Roman" w:hAnsi="Times New Roman" w:cs="Times New Roman"/>
          <w:iCs/>
          <w:color w:val="000000" w:themeColor="text1"/>
          <w:sz w:val="24"/>
          <w:szCs w:val="24"/>
        </w:rPr>
        <w:t xml:space="preserve"> 2021a; </w:t>
      </w:r>
      <w:r w:rsidR="0097630E" w:rsidRPr="00462C0B">
        <w:rPr>
          <w:rFonts w:ascii="Times New Roman" w:hAnsi="Times New Roman" w:cs="Times New Roman"/>
          <w:color w:val="000000" w:themeColor="text1"/>
          <w:sz w:val="24"/>
          <w:szCs w:val="24"/>
        </w:rPr>
        <w:t xml:space="preserve">Simpson </w:t>
      </w:r>
      <w:r w:rsidR="0097630E" w:rsidRPr="00462C0B">
        <w:rPr>
          <w:rFonts w:ascii="Times New Roman" w:hAnsi="Times New Roman" w:cs="Times New Roman"/>
          <w:i/>
          <w:color w:val="000000" w:themeColor="text1"/>
          <w:sz w:val="24"/>
          <w:szCs w:val="24"/>
        </w:rPr>
        <w:t>et al.</w:t>
      </w:r>
      <w:r w:rsidR="0097630E" w:rsidRPr="00462C0B">
        <w:rPr>
          <w:rFonts w:ascii="Times New Roman" w:hAnsi="Times New Roman" w:cs="Times New Roman"/>
          <w:iCs/>
          <w:color w:val="000000" w:themeColor="text1"/>
          <w:sz w:val="24"/>
          <w:szCs w:val="24"/>
        </w:rPr>
        <w:t xml:space="preserve"> 2021b; </w:t>
      </w:r>
      <w:r w:rsidR="0097630E" w:rsidRPr="00462C0B">
        <w:rPr>
          <w:rFonts w:ascii="Times New Roman" w:hAnsi="Times New Roman" w:cs="Times New Roman"/>
          <w:color w:val="000000" w:themeColor="text1"/>
          <w:sz w:val="24"/>
          <w:szCs w:val="24"/>
        </w:rPr>
        <w:t xml:space="preserve">Simpson </w:t>
      </w:r>
      <w:r w:rsidR="0097630E" w:rsidRPr="00462C0B">
        <w:rPr>
          <w:rFonts w:ascii="Times New Roman" w:hAnsi="Times New Roman" w:cs="Times New Roman"/>
          <w:i/>
          <w:color w:val="000000" w:themeColor="text1"/>
          <w:sz w:val="24"/>
          <w:szCs w:val="24"/>
        </w:rPr>
        <w:t>et al.</w:t>
      </w:r>
      <w:r w:rsidR="0097630E" w:rsidRPr="00462C0B">
        <w:rPr>
          <w:rFonts w:ascii="Times New Roman" w:hAnsi="Times New Roman" w:cs="Times New Roman"/>
          <w:iCs/>
          <w:color w:val="000000" w:themeColor="text1"/>
          <w:sz w:val="24"/>
          <w:szCs w:val="24"/>
        </w:rPr>
        <w:t xml:space="preserve"> 2022).  </w:t>
      </w:r>
      <w:r w:rsidR="005F7047" w:rsidRPr="00462C0B">
        <w:rPr>
          <w:rFonts w:ascii="Times New Roman" w:hAnsi="Times New Roman" w:cs="Times New Roman"/>
          <w:sz w:val="24"/>
          <w:szCs w:val="24"/>
        </w:rPr>
        <w:t xml:space="preserve">Optimisation approaches use mathematical programming methods to simulate what decisions land managers should make based on a vector of prices, costs and subsidy rates, and then relate these land management decisions to modelled ecological outcomes. </w:t>
      </w:r>
      <w:proofErr w:type="gramStart"/>
      <w:r w:rsidR="005F7047" w:rsidRPr="00462C0B">
        <w:rPr>
          <w:rFonts w:ascii="Times New Roman" w:hAnsi="Times New Roman" w:cs="Times New Roman"/>
          <w:sz w:val="24"/>
          <w:szCs w:val="24"/>
        </w:rPr>
        <w:t>Or,</w:t>
      </w:r>
      <w:proofErr w:type="gramEnd"/>
      <w:r w:rsidR="005F7047" w:rsidRPr="00462C0B">
        <w:rPr>
          <w:rFonts w:ascii="Times New Roman" w:hAnsi="Times New Roman" w:cs="Times New Roman"/>
          <w:sz w:val="24"/>
          <w:szCs w:val="24"/>
        </w:rPr>
        <w:t xml:space="preserve"> the model can be run backwards to trace out the effects on farm incomes of increasing ecological targets. Agent-based models use simple rules for the behaviour of multiple land managers (“agents”) in a landscape, and then relate these to ecological outcomes using regression-based ecological models.</w:t>
      </w:r>
    </w:p>
    <w:p w14:paraId="656B6BE1" w14:textId="02F24B5C" w:rsidR="00204E70" w:rsidRPr="00462C0B" w:rsidRDefault="00204E70" w:rsidP="0061064A">
      <w:pPr>
        <w:spacing w:line="360" w:lineRule="auto"/>
        <w:rPr>
          <w:rFonts w:ascii="Times New Roman" w:hAnsi="Times New Roman" w:cs="Times New Roman"/>
          <w:sz w:val="24"/>
          <w:szCs w:val="24"/>
        </w:rPr>
      </w:pPr>
      <w:r w:rsidRPr="00462C0B">
        <w:rPr>
          <w:rFonts w:ascii="Times New Roman" w:hAnsi="Times New Roman" w:cs="Times New Roman"/>
          <w:sz w:val="24"/>
          <w:szCs w:val="24"/>
        </w:rPr>
        <w:t>Fernandez and Karp (1998) provide</w:t>
      </w:r>
      <w:r w:rsidR="002E7515" w:rsidRPr="00462C0B">
        <w:rPr>
          <w:rFonts w:ascii="Times New Roman" w:hAnsi="Times New Roman" w:cs="Times New Roman"/>
          <w:sz w:val="24"/>
          <w:szCs w:val="24"/>
        </w:rPr>
        <w:t>d</w:t>
      </w:r>
      <w:r w:rsidRPr="00462C0B">
        <w:rPr>
          <w:rFonts w:ascii="Times New Roman" w:hAnsi="Times New Roman" w:cs="Times New Roman"/>
          <w:sz w:val="24"/>
          <w:szCs w:val="24"/>
        </w:rPr>
        <w:t xml:space="preserve"> one of the first economic analyses of wetland banking</w:t>
      </w:r>
      <w:r w:rsidR="002E7515" w:rsidRPr="00462C0B">
        <w:rPr>
          <w:rFonts w:ascii="Times New Roman" w:hAnsi="Times New Roman" w:cs="Times New Roman"/>
          <w:sz w:val="24"/>
          <w:szCs w:val="24"/>
        </w:rPr>
        <w:t xml:space="preserve"> in the USA. </w:t>
      </w:r>
      <w:r w:rsidRPr="00462C0B">
        <w:rPr>
          <w:rFonts w:ascii="Times New Roman" w:hAnsi="Times New Roman" w:cs="Times New Roman"/>
          <w:sz w:val="24"/>
          <w:szCs w:val="24"/>
        </w:rPr>
        <w:t xml:space="preserve">The ecological component of the model describes the uncertain evolution of wetlands using the current state of the habitat, investment in conservation and restoration. The economic component is an optimization problem with the developer choosing an optimal level of investment in restoration </w:t>
      </w:r>
      <w:proofErr w:type="gramStart"/>
      <w:r w:rsidRPr="00462C0B">
        <w:rPr>
          <w:rFonts w:ascii="Times New Roman" w:hAnsi="Times New Roman" w:cs="Times New Roman"/>
          <w:sz w:val="24"/>
          <w:szCs w:val="24"/>
        </w:rPr>
        <w:t>and also</w:t>
      </w:r>
      <w:proofErr w:type="gramEnd"/>
      <w:r w:rsidRPr="00462C0B">
        <w:rPr>
          <w:rFonts w:ascii="Times New Roman" w:hAnsi="Times New Roman" w:cs="Times New Roman"/>
          <w:sz w:val="24"/>
          <w:szCs w:val="24"/>
        </w:rPr>
        <w:t xml:space="preserve"> deciding when to cash in the credits. Results showed that the investor has little incentive to restore the wetlands at a level close to the social optimum. </w:t>
      </w:r>
      <w:r w:rsidR="002E7515" w:rsidRPr="00462C0B">
        <w:rPr>
          <w:rFonts w:ascii="Times New Roman" w:hAnsi="Times New Roman" w:cs="Times New Roman"/>
          <w:sz w:val="24"/>
          <w:szCs w:val="24"/>
        </w:rPr>
        <w:t>The a</w:t>
      </w:r>
      <w:r w:rsidRPr="00462C0B">
        <w:rPr>
          <w:rFonts w:ascii="Times New Roman" w:hAnsi="Times New Roman" w:cs="Times New Roman"/>
          <w:sz w:val="24"/>
          <w:szCs w:val="24"/>
        </w:rPr>
        <w:t>nalysis also revealed that the highest level of restoration would take place when there is a reduction in restoration costs, an increase in biological uncertainty and a rise in the credit price.</w:t>
      </w:r>
      <w:r w:rsidR="00EC5D16" w:rsidRPr="00462C0B">
        <w:rPr>
          <w:rFonts w:ascii="Times New Roman" w:hAnsi="Times New Roman" w:cs="Times New Roman"/>
          <w:sz w:val="24"/>
          <w:szCs w:val="24"/>
        </w:rPr>
        <w:t xml:space="preserve"> </w:t>
      </w:r>
    </w:p>
    <w:p w14:paraId="3C5DE622" w14:textId="77777777" w:rsidR="009D561F" w:rsidRPr="00462C0B" w:rsidRDefault="00044229" w:rsidP="0054451A">
      <w:pPr>
        <w:spacing w:line="360" w:lineRule="auto"/>
        <w:rPr>
          <w:rFonts w:ascii="Times New Roman" w:hAnsi="Times New Roman" w:cs="Times New Roman"/>
          <w:iCs/>
          <w:color w:val="000000" w:themeColor="text1"/>
          <w:sz w:val="24"/>
          <w:szCs w:val="24"/>
        </w:rPr>
      </w:pPr>
      <w:r w:rsidRPr="00462C0B">
        <w:rPr>
          <w:rFonts w:ascii="Times New Roman" w:hAnsi="Times New Roman" w:cs="Times New Roman"/>
          <w:sz w:val="24"/>
          <w:szCs w:val="24"/>
        </w:rPr>
        <w:t xml:space="preserve">A key finding in several </w:t>
      </w:r>
      <w:r w:rsidR="00EC4462" w:rsidRPr="00462C0B">
        <w:rPr>
          <w:rFonts w:ascii="Times New Roman" w:hAnsi="Times New Roman" w:cs="Times New Roman"/>
          <w:sz w:val="24"/>
          <w:szCs w:val="24"/>
        </w:rPr>
        <w:t xml:space="preserve">papers has been that using a single metric to capture multiple aspects of biodiversity (such as habitat, species or ecosystem functioning) </w:t>
      </w:r>
      <w:r w:rsidR="001F4C14" w:rsidRPr="00462C0B">
        <w:rPr>
          <w:rFonts w:ascii="Times New Roman" w:hAnsi="Times New Roman" w:cs="Times New Roman"/>
          <w:sz w:val="24"/>
          <w:szCs w:val="24"/>
        </w:rPr>
        <w:t xml:space="preserve">will ultimately fail to protect the aspects of biodiversity not explicitly defined in the metric. </w:t>
      </w:r>
      <w:r w:rsidR="00763599" w:rsidRPr="00462C0B">
        <w:rPr>
          <w:rFonts w:ascii="Times New Roman" w:hAnsi="Times New Roman" w:cs="Times New Roman"/>
          <w:sz w:val="24"/>
          <w:szCs w:val="24"/>
        </w:rPr>
        <w:t xml:space="preserve">Ecological-economic </w:t>
      </w:r>
      <w:r w:rsidR="005438FE" w:rsidRPr="00462C0B">
        <w:rPr>
          <w:rFonts w:ascii="Times New Roman" w:hAnsi="Times New Roman" w:cs="Times New Roman"/>
          <w:sz w:val="24"/>
          <w:szCs w:val="24"/>
        </w:rPr>
        <w:t xml:space="preserve">analysis </w:t>
      </w:r>
      <w:r w:rsidR="00763599" w:rsidRPr="00462C0B">
        <w:rPr>
          <w:rFonts w:ascii="Times New Roman" w:hAnsi="Times New Roman" w:cs="Times New Roman"/>
          <w:sz w:val="24"/>
          <w:szCs w:val="24"/>
        </w:rPr>
        <w:t xml:space="preserve">of </w:t>
      </w:r>
      <w:r w:rsidR="005438FE" w:rsidRPr="00462C0B">
        <w:rPr>
          <w:rFonts w:ascii="Times New Roman" w:hAnsi="Times New Roman" w:cs="Times New Roman"/>
          <w:sz w:val="24"/>
          <w:szCs w:val="24"/>
        </w:rPr>
        <w:t>in-</w:t>
      </w:r>
      <w:r w:rsidR="00763599" w:rsidRPr="00462C0B">
        <w:rPr>
          <w:rFonts w:ascii="Times New Roman" w:hAnsi="Times New Roman" w:cs="Times New Roman"/>
          <w:sz w:val="24"/>
          <w:szCs w:val="24"/>
        </w:rPr>
        <w:t xml:space="preserve">stream ecosystem service markets in the USA showed that using a single metric to capture ecosystem functioning resulted in the loss </w:t>
      </w:r>
      <w:r w:rsidR="008973FB" w:rsidRPr="00462C0B">
        <w:rPr>
          <w:rFonts w:ascii="Times New Roman" w:hAnsi="Times New Roman" w:cs="Times New Roman"/>
          <w:sz w:val="24"/>
          <w:szCs w:val="24"/>
        </w:rPr>
        <w:t xml:space="preserve">of </w:t>
      </w:r>
      <w:r w:rsidR="00763599" w:rsidRPr="00462C0B">
        <w:rPr>
          <w:rFonts w:ascii="Times New Roman" w:hAnsi="Times New Roman" w:cs="Times New Roman"/>
          <w:sz w:val="24"/>
          <w:szCs w:val="24"/>
        </w:rPr>
        <w:t>crucial ecosystem functions (</w:t>
      </w:r>
      <w:r w:rsidR="003E1168" w:rsidRPr="00462C0B">
        <w:rPr>
          <w:rFonts w:ascii="Times New Roman" w:hAnsi="Times New Roman" w:cs="Times New Roman"/>
          <w:sz w:val="24"/>
          <w:szCs w:val="24"/>
        </w:rPr>
        <w:t>Doyle and Yates 2010)</w:t>
      </w:r>
      <w:r w:rsidR="008973FB" w:rsidRPr="00462C0B">
        <w:rPr>
          <w:rFonts w:ascii="Times New Roman" w:hAnsi="Times New Roman" w:cs="Times New Roman"/>
          <w:sz w:val="24"/>
          <w:szCs w:val="24"/>
        </w:rPr>
        <w:t xml:space="preserve">. </w:t>
      </w:r>
      <w:r w:rsidR="003E1168" w:rsidRPr="00462C0B">
        <w:rPr>
          <w:rFonts w:ascii="Times New Roman" w:hAnsi="Times New Roman" w:cs="Times New Roman"/>
          <w:sz w:val="24"/>
          <w:szCs w:val="24"/>
        </w:rPr>
        <w:t xml:space="preserve"> </w:t>
      </w:r>
      <w:r w:rsidR="00407197" w:rsidRPr="00462C0B">
        <w:rPr>
          <w:rFonts w:ascii="Times New Roman" w:hAnsi="Times New Roman" w:cs="Times New Roman"/>
          <w:iCs/>
          <w:color w:val="000000" w:themeColor="text1"/>
          <w:sz w:val="24"/>
          <w:szCs w:val="24"/>
        </w:rPr>
        <w:t>Drechsler (2021) use</w:t>
      </w:r>
      <w:r w:rsidR="00677915" w:rsidRPr="00462C0B">
        <w:rPr>
          <w:rFonts w:ascii="Times New Roman" w:hAnsi="Times New Roman" w:cs="Times New Roman"/>
          <w:iCs/>
          <w:color w:val="000000" w:themeColor="text1"/>
          <w:sz w:val="24"/>
          <w:szCs w:val="24"/>
        </w:rPr>
        <w:t>d</w:t>
      </w:r>
      <w:r w:rsidR="00407197" w:rsidRPr="00462C0B">
        <w:rPr>
          <w:rFonts w:ascii="Times New Roman" w:hAnsi="Times New Roman" w:cs="Times New Roman"/>
          <w:iCs/>
          <w:color w:val="000000" w:themeColor="text1"/>
          <w:sz w:val="24"/>
          <w:szCs w:val="24"/>
        </w:rPr>
        <w:t xml:space="preserve"> a simulation model </w:t>
      </w:r>
      <w:r w:rsidR="007E4393" w:rsidRPr="00462C0B">
        <w:rPr>
          <w:rFonts w:ascii="Times New Roman" w:hAnsi="Times New Roman" w:cs="Times New Roman"/>
          <w:iCs/>
          <w:color w:val="000000" w:themeColor="text1"/>
          <w:sz w:val="24"/>
          <w:szCs w:val="24"/>
        </w:rPr>
        <w:t xml:space="preserve">to analyse </w:t>
      </w:r>
      <w:r w:rsidR="008809A9" w:rsidRPr="00462C0B">
        <w:rPr>
          <w:rFonts w:ascii="Times New Roman" w:hAnsi="Times New Roman" w:cs="Times New Roman"/>
          <w:iCs/>
          <w:color w:val="000000" w:themeColor="text1"/>
          <w:sz w:val="24"/>
          <w:szCs w:val="24"/>
        </w:rPr>
        <w:t xml:space="preserve">the </w:t>
      </w:r>
      <w:r w:rsidR="001D2970" w:rsidRPr="00462C0B">
        <w:rPr>
          <w:rFonts w:ascii="Times New Roman" w:hAnsi="Times New Roman" w:cs="Times New Roman"/>
          <w:iCs/>
          <w:color w:val="000000" w:themeColor="text1"/>
          <w:sz w:val="24"/>
          <w:szCs w:val="24"/>
        </w:rPr>
        <w:t xml:space="preserve">strengths and weaknesses of a credit that bundles two ecosystem services. </w:t>
      </w:r>
      <w:r w:rsidR="00AF577F" w:rsidRPr="00462C0B">
        <w:rPr>
          <w:rFonts w:ascii="Times New Roman" w:hAnsi="Times New Roman" w:cs="Times New Roman"/>
          <w:iCs/>
          <w:color w:val="000000" w:themeColor="text1"/>
          <w:sz w:val="24"/>
          <w:szCs w:val="24"/>
        </w:rPr>
        <w:t>The results show</w:t>
      </w:r>
      <w:r w:rsidR="00677915" w:rsidRPr="00462C0B">
        <w:rPr>
          <w:rFonts w:ascii="Times New Roman" w:hAnsi="Times New Roman" w:cs="Times New Roman"/>
          <w:iCs/>
          <w:color w:val="000000" w:themeColor="text1"/>
          <w:sz w:val="24"/>
          <w:szCs w:val="24"/>
        </w:rPr>
        <w:t>ed</w:t>
      </w:r>
      <w:r w:rsidR="00AF577F" w:rsidRPr="00462C0B">
        <w:rPr>
          <w:rFonts w:ascii="Times New Roman" w:hAnsi="Times New Roman" w:cs="Times New Roman"/>
          <w:iCs/>
          <w:color w:val="000000" w:themeColor="text1"/>
          <w:sz w:val="24"/>
          <w:szCs w:val="24"/>
        </w:rPr>
        <w:t xml:space="preserve"> that </w:t>
      </w:r>
      <w:r w:rsidR="00C62D22" w:rsidRPr="00462C0B">
        <w:rPr>
          <w:rFonts w:ascii="Times New Roman" w:hAnsi="Times New Roman" w:cs="Times New Roman"/>
          <w:iCs/>
          <w:color w:val="000000" w:themeColor="text1"/>
          <w:sz w:val="24"/>
          <w:szCs w:val="24"/>
        </w:rPr>
        <w:t>it is likely that there w</w:t>
      </w:r>
      <w:r w:rsidR="00677915" w:rsidRPr="00462C0B">
        <w:rPr>
          <w:rFonts w:ascii="Times New Roman" w:hAnsi="Times New Roman" w:cs="Times New Roman"/>
          <w:iCs/>
          <w:color w:val="000000" w:themeColor="text1"/>
          <w:sz w:val="24"/>
          <w:szCs w:val="24"/>
        </w:rPr>
        <w:t>ould</w:t>
      </w:r>
      <w:r w:rsidR="00C62D22" w:rsidRPr="00462C0B">
        <w:rPr>
          <w:rFonts w:ascii="Times New Roman" w:hAnsi="Times New Roman" w:cs="Times New Roman"/>
          <w:iCs/>
          <w:color w:val="000000" w:themeColor="text1"/>
          <w:sz w:val="24"/>
          <w:szCs w:val="24"/>
        </w:rPr>
        <w:t xml:space="preserve"> be a loss in one of the ecosystem services, despite an overall no net loss being achieved. This </w:t>
      </w:r>
      <w:r w:rsidR="00677915" w:rsidRPr="00462C0B">
        <w:rPr>
          <w:rFonts w:ascii="Times New Roman" w:hAnsi="Times New Roman" w:cs="Times New Roman"/>
          <w:iCs/>
          <w:color w:val="000000" w:themeColor="text1"/>
          <w:sz w:val="24"/>
          <w:szCs w:val="24"/>
        </w:rPr>
        <w:t xml:space="preserve">result was </w:t>
      </w:r>
      <w:r w:rsidR="00C62D22" w:rsidRPr="00462C0B">
        <w:rPr>
          <w:rFonts w:ascii="Times New Roman" w:hAnsi="Times New Roman" w:cs="Times New Roman"/>
          <w:iCs/>
          <w:color w:val="000000" w:themeColor="text1"/>
          <w:sz w:val="24"/>
          <w:szCs w:val="24"/>
        </w:rPr>
        <w:t xml:space="preserve">driven by </w:t>
      </w:r>
      <w:r w:rsidR="003C39B9" w:rsidRPr="00462C0B">
        <w:rPr>
          <w:rFonts w:ascii="Times New Roman" w:hAnsi="Times New Roman" w:cs="Times New Roman"/>
          <w:iCs/>
          <w:color w:val="000000" w:themeColor="text1"/>
          <w:sz w:val="24"/>
          <w:szCs w:val="24"/>
        </w:rPr>
        <w:t>heterogeneity in the value of land parcels</w:t>
      </w:r>
      <w:r w:rsidR="00677915" w:rsidRPr="00462C0B">
        <w:rPr>
          <w:rFonts w:ascii="Times New Roman" w:hAnsi="Times New Roman" w:cs="Times New Roman"/>
          <w:iCs/>
          <w:color w:val="000000" w:themeColor="text1"/>
          <w:sz w:val="24"/>
          <w:szCs w:val="24"/>
        </w:rPr>
        <w:t>: w</w:t>
      </w:r>
      <w:r w:rsidR="00657CE6" w:rsidRPr="00462C0B">
        <w:rPr>
          <w:rFonts w:ascii="Times New Roman" w:hAnsi="Times New Roman" w:cs="Times New Roman"/>
          <w:iCs/>
          <w:color w:val="000000" w:themeColor="text1"/>
          <w:sz w:val="24"/>
          <w:szCs w:val="24"/>
        </w:rPr>
        <w:t xml:space="preserve">here an ecosystem </w:t>
      </w:r>
      <w:r w:rsidR="00677915" w:rsidRPr="00462C0B">
        <w:rPr>
          <w:rFonts w:ascii="Times New Roman" w:hAnsi="Times New Roman" w:cs="Times New Roman"/>
          <w:iCs/>
          <w:color w:val="000000" w:themeColor="text1"/>
          <w:sz w:val="24"/>
          <w:szCs w:val="24"/>
        </w:rPr>
        <w:t xml:space="preserve">service </w:t>
      </w:r>
      <w:r w:rsidR="00657CE6" w:rsidRPr="00462C0B">
        <w:rPr>
          <w:rFonts w:ascii="Times New Roman" w:hAnsi="Times New Roman" w:cs="Times New Roman"/>
          <w:iCs/>
          <w:color w:val="000000" w:themeColor="text1"/>
          <w:sz w:val="24"/>
          <w:szCs w:val="24"/>
        </w:rPr>
        <w:t>is positively correlated with high</w:t>
      </w:r>
      <w:r w:rsidR="00A51197" w:rsidRPr="00462C0B">
        <w:rPr>
          <w:rFonts w:ascii="Times New Roman" w:hAnsi="Times New Roman" w:cs="Times New Roman"/>
          <w:iCs/>
          <w:color w:val="000000" w:themeColor="text1"/>
          <w:sz w:val="24"/>
          <w:szCs w:val="24"/>
        </w:rPr>
        <w:t>-</w:t>
      </w:r>
      <w:r w:rsidR="00657CE6" w:rsidRPr="00462C0B">
        <w:rPr>
          <w:rFonts w:ascii="Times New Roman" w:hAnsi="Times New Roman" w:cs="Times New Roman"/>
          <w:iCs/>
          <w:color w:val="000000" w:themeColor="text1"/>
          <w:sz w:val="24"/>
          <w:szCs w:val="24"/>
        </w:rPr>
        <w:t>value land parcels</w:t>
      </w:r>
      <w:r w:rsidR="00677915" w:rsidRPr="00462C0B">
        <w:rPr>
          <w:rFonts w:ascii="Times New Roman" w:hAnsi="Times New Roman" w:cs="Times New Roman"/>
          <w:iCs/>
          <w:color w:val="000000" w:themeColor="text1"/>
          <w:sz w:val="24"/>
          <w:szCs w:val="24"/>
        </w:rPr>
        <w:t xml:space="preserve"> (for development)</w:t>
      </w:r>
      <w:r w:rsidR="00657CE6" w:rsidRPr="00462C0B">
        <w:rPr>
          <w:rFonts w:ascii="Times New Roman" w:hAnsi="Times New Roman" w:cs="Times New Roman"/>
          <w:iCs/>
          <w:color w:val="000000" w:themeColor="text1"/>
          <w:sz w:val="24"/>
          <w:szCs w:val="24"/>
        </w:rPr>
        <w:t xml:space="preserve"> </w:t>
      </w:r>
      <w:r w:rsidR="00A51197" w:rsidRPr="00462C0B">
        <w:rPr>
          <w:rFonts w:ascii="Times New Roman" w:hAnsi="Times New Roman" w:cs="Times New Roman"/>
          <w:iCs/>
          <w:color w:val="000000" w:themeColor="text1"/>
          <w:sz w:val="24"/>
          <w:szCs w:val="24"/>
        </w:rPr>
        <w:t>this service will likely</w:t>
      </w:r>
      <w:r w:rsidR="00657CE6" w:rsidRPr="00462C0B">
        <w:rPr>
          <w:rFonts w:ascii="Times New Roman" w:hAnsi="Times New Roman" w:cs="Times New Roman"/>
          <w:iCs/>
          <w:color w:val="000000" w:themeColor="text1"/>
          <w:sz w:val="24"/>
          <w:szCs w:val="24"/>
        </w:rPr>
        <w:t xml:space="preserve"> decline</w:t>
      </w:r>
      <w:r w:rsidR="00C440F4" w:rsidRPr="00462C0B">
        <w:rPr>
          <w:rFonts w:ascii="Times New Roman" w:hAnsi="Times New Roman" w:cs="Times New Roman"/>
          <w:iCs/>
          <w:color w:val="000000" w:themeColor="text1"/>
          <w:sz w:val="24"/>
          <w:szCs w:val="24"/>
        </w:rPr>
        <w:t xml:space="preserve">, as the </w:t>
      </w:r>
      <w:r w:rsidR="003C39B9" w:rsidRPr="00462C0B">
        <w:rPr>
          <w:rFonts w:ascii="Times New Roman" w:hAnsi="Times New Roman" w:cs="Times New Roman"/>
          <w:iCs/>
          <w:color w:val="000000" w:themeColor="text1"/>
          <w:sz w:val="24"/>
          <w:szCs w:val="24"/>
        </w:rPr>
        <w:t>least profitable</w:t>
      </w:r>
      <w:r w:rsidR="00C440F4" w:rsidRPr="00462C0B">
        <w:rPr>
          <w:rFonts w:ascii="Times New Roman" w:hAnsi="Times New Roman" w:cs="Times New Roman"/>
          <w:iCs/>
          <w:color w:val="000000" w:themeColor="text1"/>
          <w:sz w:val="24"/>
          <w:szCs w:val="24"/>
        </w:rPr>
        <w:t xml:space="preserve"> land parcels </w:t>
      </w:r>
      <w:r w:rsidR="003C39B9" w:rsidRPr="00462C0B">
        <w:rPr>
          <w:rFonts w:ascii="Times New Roman" w:hAnsi="Times New Roman" w:cs="Times New Roman"/>
          <w:iCs/>
          <w:color w:val="000000" w:themeColor="text1"/>
          <w:sz w:val="24"/>
          <w:szCs w:val="24"/>
        </w:rPr>
        <w:t>tend to be conserved</w:t>
      </w:r>
      <w:r w:rsidR="00C440F4" w:rsidRPr="00462C0B">
        <w:rPr>
          <w:rFonts w:ascii="Times New Roman" w:hAnsi="Times New Roman" w:cs="Times New Roman"/>
          <w:iCs/>
          <w:color w:val="000000" w:themeColor="text1"/>
          <w:sz w:val="24"/>
          <w:szCs w:val="24"/>
        </w:rPr>
        <w:t xml:space="preserve">. This result was also found by Simpson </w:t>
      </w:r>
      <w:r w:rsidR="00C440F4" w:rsidRPr="00462C0B">
        <w:rPr>
          <w:rFonts w:ascii="Times New Roman" w:hAnsi="Times New Roman" w:cs="Times New Roman"/>
          <w:i/>
          <w:color w:val="000000" w:themeColor="text1"/>
          <w:sz w:val="24"/>
          <w:szCs w:val="24"/>
        </w:rPr>
        <w:t>et al</w:t>
      </w:r>
      <w:r w:rsidR="004C7024" w:rsidRPr="00462C0B">
        <w:rPr>
          <w:rFonts w:ascii="Times New Roman" w:hAnsi="Times New Roman" w:cs="Times New Roman"/>
          <w:i/>
          <w:color w:val="000000" w:themeColor="text1"/>
          <w:sz w:val="24"/>
          <w:szCs w:val="24"/>
        </w:rPr>
        <w:t>.</w:t>
      </w:r>
      <w:r w:rsidR="00C440F4" w:rsidRPr="00462C0B">
        <w:rPr>
          <w:rFonts w:ascii="Times New Roman" w:hAnsi="Times New Roman" w:cs="Times New Roman"/>
          <w:iCs/>
          <w:color w:val="000000" w:themeColor="text1"/>
          <w:sz w:val="24"/>
          <w:szCs w:val="24"/>
        </w:rPr>
        <w:t xml:space="preserve"> (2022)</w:t>
      </w:r>
      <w:r w:rsidR="00B03420" w:rsidRPr="00462C0B">
        <w:rPr>
          <w:rFonts w:ascii="Times New Roman" w:hAnsi="Times New Roman" w:cs="Times New Roman"/>
          <w:iCs/>
          <w:color w:val="000000" w:themeColor="text1"/>
          <w:sz w:val="24"/>
          <w:szCs w:val="24"/>
        </w:rPr>
        <w:t xml:space="preserve"> within their simulated market</w:t>
      </w:r>
      <w:r w:rsidR="004C7024" w:rsidRPr="00462C0B">
        <w:rPr>
          <w:rFonts w:ascii="Times New Roman" w:hAnsi="Times New Roman" w:cs="Times New Roman"/>
          <w:iCs/>
          <w:color w:val="000000" w:themeColor="text1"/>
          <w:sz w:val="24"/>
          <w:szCs w:val="24"/>
        </w:rPr>
        <w:t xml:space="preserve"> of offsetting in England</w:t>
      </w:r>
      <w:r w:rsidR="00B03420" w:rsidRPr="00462C0B">
        <w:rPr>
          <w:rFonts w:ascii="Times New Roman" w:hAnsi="Times New Roman" w:cs="Times New Roman"/>
          <w:iCs/>
          <w:color w:val="000000" w:themeColor="text1"/>
          <w:sz w:val="24"/>
          <w:szCs w:val="24"/>
        </w:rPr>
        <w:t xml:space="preserve">. It was </w:t>
      </w:r>
      <w:r w:rsidR="00AE1115" w:rsidRPr="00462C0B">
        <w:rPr>
          <w:rFonts w:ascii="Times New Roman" w:hAnsi="Times New Roman" w:cs="Times New Roman"/>
          <w:iCs/>
          <w:color w:val="000000" w:themeColor="text1"/>
          <w:sz w:val="24"/>
          <w:szCs w:val="24"/>
        </w:rPr>
        <w:t>found that</w:t>
      </w:r>
      <w:r w:rsidR="00B03420" w:rsidRPr="00462C0B">
        <w:rPr>
          <w:rFonts w:ascii="Times New Roman" w:hAnsi="Times New Roman" w:cs="Times New Roman"/>
          <w:iCs/>
          <w:color w:val="000000" w:themeColor="text1"/>
          <w:sz w:val="24"/>
          <w:szCs w:val="24"/>
        </w:rPr>
        <w:t xml:space="preserve"> neither the habitat nor species metric adequately </w:t>
      </w:r>
      <w:r w:rsidR="00B03420" w:rsidRPr="00462C0B">
        <w:rPr>
          <w:rFonts w:ascii="Times New Roman" w:hAnsi="Times New Roman" w:cs="Times New Roman"/>
          <w:iCs/>
          <w:color w:val="000000" w:themeColor="text1"/>
          <w:sz w:val="24"/>
          <w:szCs w:val="24"/>
        </w:rPr>
        <w:lastRenderedPageBreak/>
        <w:t xml:space="preserve">captured the indirect benefits of offsetting on related habitats or species. </w:t>
      </w:r>
      <w:r w:rsidR="00B91AAF" w:rsidRPr="00462C0B">
        <w:rPr>
          <w:rFonts w:ascii="Times New Roman" w:hAnsi="Times New Roman" w:cs="Times New Roman"/>
          <w:iCs/>
          <w:color w:val="000000" w:themeColor="text1"/>
          <w:sz w:val="24"/>
          <w:szCs w:val="24"/>
        </w:rPr>
        <w:t>What these papers showed was that w</w:t>
      </w:r>
      <w:r w:rsidR="004C7024" w:rsidRPr="00462C0B">
        <w:rPr>
          <w:rFonts w:ascii="Times New Roman" w:hAnsi="Times New Roman" w:cs="Times New Roman"/>
          <w:iCs/>
          <w:color w:val="000000" w:themeColor="text1"/>
          <w:sz w:val="24"/>
          <w:szCs w:val="24"/>
        </w:rPr>
        <w:t>ithin a landscape, the underlying species and habitat distributions</w:t>
      </w:r>
      <w:r w:rsidR="00B91AAF" w:rsidRPr="00462C0B">
        <w:rPr>
          <w:rFonts w:ascii="Times New Roman" w:hAnsi="Times New Roman" w:cs="Times New Roman"/>
          <w:iCs/>
          <w:color w:val="000000" w:themeColor="text1"/>
          <w:sz w:val="24"/>
          <w:szCs w:val="24"/>
        </w:rPr>
        <w:t xml:space="preserve"> when layered with </w:t>
      </w:r>
      <w:r w:rsidR="004C7024" w:rsidRPr="00462C0B">
        <w:rPr>
          <w:rFonts w:ascii="Times New Roman" w:hAnsi="Times New Roman" w:cs="Times New Roman"/>
          <w:iCs/>
          <w:color w:val="000000" w:themeColor="text1"/>
          <w:sz w:val="24"/>
          <w:szCs w:val="24"/>
        </w:rPr>
        <w:t xml:space="preserve">cost </w:t>
      </w:r>
      <w:r w:rsidR="00B91AAF" w:rsidRPr="00462C0B">
        <w:rPr>
          <w:rFonts w:ascii="Times New Roman" w:hAnsi="Times New Roman" w:cs="Times New Roman"/>
          <w:iCs/>
          <w:color w:val="000000" w:themeColor="text1"/>
          <w:sz w:val="24"/>
          <w:szCs w:val="24"/>
        </w:rPr>
        <w:t xml:space="preserve">data </w:t>
      </w:r>
      <w:r w:rsidR="004C7024" w:rsidRPr="00462C0B">
        <w:rPr>
          <w:rFonts w:ascii="Times New Roman" w:hAnsi="Times New Roman" w:cs="Times New Roman"/>
          <w:iCs/>
          <w:color w:val="000000" w:themeColor="text1"/>
          <w:sz w:val="24"/>
          <w:szCs w:val="24"/>
        </w:rPr>
        <w:t xml:space="preserve">on the supply and demand of credits result in very different landscape outcomes depending on the metric chosen (Kangas and Ollikainen 2019; Simpson </w:t>
      </w:r>
      <w:r w:rsidR="004C7024" w:rsidRPr="00462C0B">
        <w:rPr>
          <w:rFonts w:ascii="Times New Roman" w:hAnsi="Times New Roman" w:cs="Times New Roman"/>
          <w:i/>
          <w:color w:val="000000" w:themeColor="text1"/>
          <w:sz w:val="24"/>
          <w:szCs w:val="24"/>
        </w:rPr>
        <w:t>et al</w:t>
      </w:r>
      <w:r w:rsidR="00B91AAF" w:rsidRPr="00462C0B">
        <w:rPr>
          <w:rFonts w:ascii="Times New Roman" w:hAnsi="Times New Roman" w:cs="Times New Roman"/>
          <w:i/>
          <w:color w:val="000000" w:themeColor="text1"/>
          <w:sz w:val="24"/>
          <w:szCs w:val="24"/>
        </w:rPr>
        <w:t>.</w:t>
      </w:r>
      <w:r w:rsidR="004C7024" w:rsidRPr="00462C0B">
        <w:rPr>
          <w:rFonts w:ascii="Times New Roman" w:hAnsi="Times New Roman" w:cs="Times New Roman"/>
          <w:iCs/>
          <w:color w:val="000000" w:themeColor="text1"/>
          <w:sz w:val="24"/>
          <w:szCs w:val="24"/>
        </w:rPr>
        <w:t xml:space="preserve"> 2022).</w:t>
      </w:r>
      <w:r w:rsidR="002B244F" w:rsidRPr="00462C0B">
        <w:rPr>
          <w:rFonts w:ascii="Times New Roman" w:hAnsi="Times New Roman" w:cs="Times New Roman"/>
          <w:iCs/>
          <w:color w:val="000000" w:themeColor="text1"/>
          <w:sz w:val="24"/>
          <w:szCs w:val="24"/>
        </w:rPr>
        <w:t xml:space="preserve"> </w:t>
      </w:r>
    </w:p>
    <w:p w14:paraId="3FD35803" w14:textId="71D3C8FB" w:rsidR="0096412E" w:rsidRPr="00462C0B" w:rsidRDefault="00DE4630" w:rsidP="0054451A">
      <w:pPr>
        <w:spacing w:line="360" w:lineRule="auto"/>
        <w:rPr>
          <w:rFonts w:ascii="Times New Roman" w:hAnsi="Times New Roman" w:cs="Times New Roman"/>
          <w:iCs/>
          <w:color w:val="000000" w:themeColor="text1"/>
          <w:sz w:val="24"/>
          <w:szCs w:val="24"/>
        </w:rPr>
      </w:pPr>
      <w:r w:rsidRPr="00462C0B">
        <w:rPr>
          <w:rFonts w:ascii="Times New Roman" w:hAnsi="Times New Roman" w:cs="Times New Roman"/>
          <w:iCs/>
          <w:color w:val="000000" w:themeColor="text1"/>
          <w:sz w:val="24"/>
          <w:szCs w:val="24"/>
        </w:rPr>
        <w:t xml:space="preserve">These results can be compared with the case study analysis of species conservation banks in Florida by Grimm (2021). The focus of species banking is to conserve protected species under the US Endangered Species Act. However, the metric used in the programme is acreage (not species) and the case study analysis shows that banks ‘overcompensate’ by providing additional acreage but that there is no link to species conservation. </w:t>
      </w:r>
      <w:r w:rsidR="0061064A" w:rsidRPr="00462C0B">
        <w:rPr>
          <w:rFonts w:ascii="Times New Roman" w:hAnsi="Times New Roman" w:cs="Times New Roman"/>
          <w:iCs/>
          <w:color w:val="000000" w:themeColor="text1"/>
          <w:sz w:val="24"/>
          <w:szCs w:val="24"/>
        </w:rPr>
        <w:t xml:space="preserve">This adds further evidence to the already well-developed concerns in the ecological literature that a broad no net loss or no net gain of biodiversity metric does not capture indirect benefits of offsetting on other non-target species (Maron </w:t>
      </w:r>
      <w:r w:rsidR="0061064A" w:rsidRPr="00462C0B">
        <w:rPr>
          <w:rFonts w:ascii="Times New Roman" w:hAnsi="Times New Roman" w:cs="Times New Roman"/>
          <w:i/>
          <w:color w:val="000000" w:themeColor="text1"/>
          <w:sz w:val="24"/>
          <w:szCs w:val="24"/>
        </w:rPr>
        <w:t>et al</w:t>
      </w:r>
      <w:r w:rsidR="0061064A" w:rsidRPr="00462C0B">
        <w:rPr>
          <w:rFonts w:ascii="Times New Roman" w:hAnsi="Times New Roman" w:cs="Times New Roman"/>
          <w:iCs/>
          <w:color w:val="000000" w:themeColor="text1"/>
          <w:sz w:val="24"/>
          <w:szCs w:val="24"/>
        </w:rPr>
        <w:t xml:space="preserve">. 2012; Bull </w:t>
      </w:r>
      <w:r w:rsidR="0061064A" w:rsidRPr="00462C0B">
        <w:rPr>
          <w:rFonts w:ascii="Times New Roman" w:hAnsi="Times New Roman" w:cs="Times New Roman"/>
          <w:i/>
          <w:color w:val="000000" w:themeColor="text1"/>
          <w:sz w:val="24"/>
          <w:szCs w:val="24"/>
        </w:rPr>
        <w:t>et al</w:t>
      </w:r>
      <w:r w:rsidRPr="00462C0B">
        <w:rPr>
          <w:rFonts w:ascii="Times New Roman" w:hAnsi="Times New Roman" w:cs="Times New Roman"/>
          <w:i/>
          <w:color w:val="000000" w:themeColor="text1"/>
          <w:sz w:val="24"/>
          <w:szCs w:val="24"/>
        </w:rPr>
        <w:t>.</w:t>
      </w:r>
      <w:r w:rsidR="0061064A" w:rsidRPr="00462C0B">
        <w:rPr>
          <w:rFonts w:ascii="Times New Roman" w:hAnsi="Times New Roman" w:cs="Times New Roman"/>
          <w:iCs/>
          <w:color w:val="000000" w:themeColor="text1"/>
          <w:sz w:val="24"/>
          <w:szCs w:val="24"/>
        </w:rPr>
        <w:t xml:space="preserve"> 2014; zu Ermgassen 2019; Marshall </w:t>
      </w:r>
      <w:r w:rsidR="0061064A" w:rsidRPr="00462C0B">
        <w:rPr>
          <w:rFonts w:ascii="Times New Roman" w:hAnsi="Times New Roman" w:cs="Times New Roman"/>
          <w:i/>
          <w:color w:val="000000" w:themeColor="text1"/>
          <w:sz w:val="24"/>
          <w:szCs w:val="24"/>
        </w:rPr>
        <w:t>et al</w:t>
      </w:r>
      <w:r w:rsidRPr="00462C0B">
        <w:rPr>
          <w:rFonts w:ascii="Times New Roman" w:hAnsi="Times New Roman" w:cs="Times New Roman"/>
          <w:i/>
          <w:color w:val="000000" w:themeColor="text1"/>
          <w:sz w:val="24"/>
          <w:szCs w:val="24"/>
        </w:rPr>
        <w:t>.</w:t>
      </w:r>
      <w:r w:rsidR="0061064A" w:rsidRPr="00462C0B">
        <w:rPr>
          <w:rFonts w:ascii="Times New Roman" w:hAnsi="Times New Roman" w:cs="Times New Roman"/>
          <w:iCs/>
          <w:color w:val="000000" w:themeColor="text1"/>
          <w:sz w:val="24"/>
          <w:szCs w:val="24"/>
        </w:rPr>
        <w:t xml:space="preserve"> 2020a).</w:t>
      </w:r>
      <w:r w:rsidRPr="00462C0B">
        <w:rPr>
          <w:rFonts w:ascii="Times New Roman" w:hAnsi="Times New Roman" w:cs="Times New Roman"/>
          <w:iCs/>
          <w:color w:val="000000" w:themeColor="text1"/>
          <w:sz w:val="24"/>
          <w:szCs w:val="24"/>
        </w:rPr>
        <w:t xml:space="preserve"> </w:t>
      </w:r>
      <w:r w:rsidR="0061064A" w:rsidRPr="00462C0B">
        <w:rPr>
          <w:rFonts w:ascii="Times New Roman" w:hAnsi="Times New Roman" w:cs="Times New Roman"/>
          <w:iCs/>
          <w:color w:val="000000" w:themeColor="text1"/>
          <w:sz w:val="24"/>
          <w:szCs w:val="24"/>
        </w:rPr>
        <w:t xml:space="preserve">Ultimately, </w:t>
      </w:r>
      <w:r w:rsidR="000B2578" w:rsidRPr="00462C0B">
        <w:rPr>
          <w:rFonts w:ascii="Times New Roman" w:hAnsi="Times New Roman" w:cs="Times New Roman"/>
          <w:iCs/>
          <w:color w:val="000000" w:themeColor="text1"/>
          <w:sz w:val="24"/>
          <w:szCs w:val="24"/>
        </w:rPr>
        <w:t xml:space="preserve">both the </w:t>
      </w:r>
      <w:r w:rsidR="0061064A" w:rsidRPr="00462C0B">
        <w:rPr>
          <w:rFonts w:ascii="Times New Roman" w:hAnsi="Times New Roman" w:cs="Times New Roman"/>
          <w:iCs/>
          <w:color w:val="000000" w:themeColor="text1"/>
          <w:sz w:val="24"/>
          <w:szCs w:val="24"/>
        </w:rPr>
        <w:t>ecological and economic literature</w:t>
      </w:r>
      <w:r w:rsidR="000B2578" w:rsidRPr="00462C0B">
        <w:rPr>
          <w:rFonts w:ascii="Times New Roman" w:hAnsi="Times New Roman" w:cs="Times New Roman"/>
          <w:iCs/>
          <w:color w:val="000000" w:themeColor="text1"/>
          <w:sz w:val="24"/>
          <w:szCs w:val="24"/>
        </w:rPr>
        <w:t>s</w:t>
      </w:r>
      <w:r w:rsidR="0061064A" w:rsidRPr="00462C0B">
        <w:rPr>
          <w:rFonts w:ascii="Times New Roman" w:hAnsi="Times New Roman" w:cs="Times New Roman"/>
          <w:iCs/>
          <w:color w:val="000000" w:themeColor="text1"/>
          <w:sz w:val="24"/>
          <w:szCs w:val="24"/>
        </w:rPr>
        <w:t xml:space="preserve"> show that c</w:t>
      </w:r>
      <w:r w:rsidR="00473F64" w:rsidRPr="00462C0B">
        <w:rPr>
          <w:rFonts w:ascii="Times New Roman" w:hAnsi="Times New Roman" w:cs="Times New Roman"/>
          <w:iCs/>
          <w:color w:val="000000" w:themeColor="text1"/>
          <w:sz w:val="24"/>
          <w:szCs w:val="24"/>
        </w:rPr>
        <w:t xml:space="preserve">hoosing to focus on a single indicator species will not deliver multiple target outcomes for biodiversity (Armsworth </w:t>
      </w:r>
      <w:r w:rsidR="00473F64" w:rsidRPr="00462C0B">
        <w:rPr>
          <w:rFonts w:ascii="Times New Roman" w:hAnsi="Times New Roman" w:cs="Times New Roman"/>
          <w:i/>
          <w:color w:val="000000" w:themeColor="text1"/>
          <w:sz w:val="24"/>
          <w:szCs w:val="24"/>
        </w:rPr>
        <w:t>et al.</w:t>
      </w:r>
      <w:r w:rsidR="00473F64" w:rsidRPr="00462C0B">
        <w:rPr>
          <w:rFonts w:ascii="Times New Roman" w:hAnsi="Times New Roman" w:cs="Times New Roman"/>
          <w:iCs/>
          <w:color w:val="000000" w:themeColor="text1"/>
          <w:sz w:val="24"/>
          <w:szCs w:val="24"/>
        </w:rPr>
        <w:t xml:space="preserve"> 2012). </w:t>
      </w:r>
    </w:p>
    <w:p w14:paraId="5E8B2265" w14:textId="36518783" w:rsidR="001167B1" w:rsidRPr="00462C0B" w:rsidRDefault="000A11EC" w:rsidP="00B31B0E">
      <w:pPr>
        <w:spacing w:line="360" w:lineRule="auto"/>
        <w:rPr>
          <w:rFonts w:ascii="Times New Roman" w:hAnsi="Times New Roman" w:cs="Times New Roman"/>
          <w:sz w:val="24"/>
          <w:szCs w:val="24"/>
        </w:rPr>
      </w:pPr>
      <w:r w:rsidRPr="00462C0B">
        <w:rPr>
          <w:rFonts w:ascii="Times New Roman" w:hAnsi="Times New Roman" w:cs="Times New Roman"/>
          <w:iCs/>
          <w:color w:val="000000" w:themeColor="text1"/>
          <w:sz w:val="24"/>
          <w:szCs w:val="24"/>
        </w:rPr>
        <w:t xml:space="preserve">Modelling has also been applied to understand the impacts of </w:t>
      </w:r>
      <w:r w:rsidR="0074161D" w:rsidRPr="00462C0B">
        <w:rPr>
          <w:rFonts w:ascii="Times New Roman" w:hAnsi="Times New Roman" w:cs="Times New Roman"/>
          <w:iCs/>
          <w:color w:val="000000" w:themeColor="text1"/>
          <w:sz w:val="24"/>
          <w:szCs w:val="24"/>
        </w:rPr>
        <w:t>the multipliers</w:t>
      </w:r>
      <w:r w:rsidRPr="00462C0B">
        <w:rPr>
          <w:rFonts w:ascii="Times New Roman" w:hAnsi="Times New Roman" w:cs="Times New Roman"/>
          <w:iCs/>
          <w:color w:val="000000" w:themeColor="text1"/>
          <w:sz w:val="24"/>
          <w:szCs w:val="24"/>
        </w:rPr>
        <w:t xml:space="preserve"> on ecological and economic outcomes (Bonds and Pompe 2003; BenDor</w:t>
      </w:r>
      <w:r w:rsidR="0074161D" w:rsidRPr="00462C0B">
        <w:rPr>
          <w:rFonts w:ascii="Times New Roman" w:hAnsi="Times New Roman" w:cs="Times New Roman"/>
          <w:iCs/>
          <w:color w:val="000000" w:themeColor="text1"/>
          <w:sz w:val="24"/>
          <w:szCs w:val="24"/>
        </w:rPr>
        <w:t xml:space="preserve"> 2009</w:t>
      </w:r>
      <w:r w:rsidR="00C95E72" w:rsidRPr="00462C0B">
        <w:rPr>
          <w:rFonts w:ascii="Times New Roman" w:hAnsi="Times New Roman" w:cs="Times New Roman"/>
          <w:iCs/>
          <w:color w:val="000000" w:themeColor="text1"/>
          <w:sz w:val="24"/>
          <w:szCs w:val="24"/>
        </w:rPr>
        <w:t>;</w:t>
      </w:r>
      <w:r w:rsidR="00C95E72" w:rsidRPr="00462C0B">
        <w:t xml:space="preserve"> </w:t>
      </w:r>
      <w:r w:rsidR="00C95E72" w:rsidRPr="00462C0B">
        <w:rPr>
          <w:rFonts w:ascii="Times New Roman" w:hAnsi="Times New Roman" w:cs="Times New Roman"/>
          <w:iCs/>
          <w:color w:val="000000" w:themeColor="text1"/>
          <w:sz w:val="24"/>
          <w:szCs w:val="24"/>
        </w:rPr>
        <w:t xml:space="preserve">Laitila </w:t>
      </w:r>
      <w:r w:rsidR="00C95E72" w:rsidRPr="00462C0B">
        <w:rPr>
          <w:rFonts w:ascii="Times New Roman" w:hAnsi="Times New Roman" w:cs="Times New Roman"/>
          <w:i/>
          <w:color w:val="000000" w:themeColor="text1"/>
          <w:sz w:val="24"/>
          <w:szCs w:val="24"/>
        </w:rPr>
        <w:t>et al.</w:t>
      </w:r>
      <w:r w:rsidR="00C95E72" w:rsidRPr="00462C0B">
        <w:rPr>
          <w:rFonts w:ascii="Times New Roman" w:hAnsi="Times New Roman" w:cs="Times New Roman"/>
          <w:iCs/>
          <w:color w:val="000000" w:themeColor="text1"/>
          <w:sz w:val="24"/>
          <w:szCs w:val="24"/>
        </w:rPr>
        <w:t xml:space="preserve"> 2014)</w:t>
      </w:r>
      <w:r w:rsidR="0074161D" w:rsidRPr="00462C0B">
        <w:rPr>
          <w:rFonts w:ascii="Times New Roman" w:hAnsi="Times New Roman" w:cs="Times New Roman"/>
          <w:iCs/>
          <w:color w:val="000000" w:themeColor="text1"/>
          <w:sz w:val="24"/>
          <w:szCs w:val="24"/>
        </w:rPr>
        <w:t xml:space="preserve">. </w:t>
      </w:r>
      <w:r w:rsidR="00AA6390" w:rsidRPr="00462C0B">
        <w:rPr>
          <w:rFonts w:ascii="Times New Roman" w:hAnsi="Times New Roman" w:cs="Times New Roman"/>
          <w:iCs/>
          <w:color w:val="000000" w:themeColor="text1"/>
          <w:sz w:val="24"/>
          <w:szCs w:val="24"/>
        </w:rPr>
        <w:t xml:space="preserve">System dynamics models of wetland loss and restoration in the USA </w:t>
      </w:r>
      <w:r w:rsidR="007C34DD" w:rsidRPr="00462C0B">
        <w:rPr>
          <w:rFonts w:ascii="Times New Roman" w:hAnsi="Times New Roman" w:cs="Times New Roman"/>
          <w:iCs/>
          <w:color w:val="000000" w:themeColor="text1"/>
          <w:sz w:val="24"/>
          <w:szCs w:val="24"/>
        </w:rPr>
        <w:t xml:space="preserve">have shown that even low mitigation failure rates and short delays in compensation can have high costs to society in terms of lost wetland functionality (BenDor 2009). </w:t>
      </w:r>
      <w:r w:rsidR="001A164A" w:rsidRPr="00462C0B">
        <w:rPr>
          <w:rFonts w:ascii="Times New Roman" w:hAnsi="Times New Roman" w:cs="Times New Roman"/>
          <w:iCs/>
          <w:color w:val="000000" w:themeColor="text1"/>
          <w:sz w:val="24"/>
          <w:szCs w:val="24"/>
        </w:rPr>
        <w:t>As a result</w:t>
      </w:r>
      <w:r w:rsidR="00935A30" w:rsidRPr="00462C0B">
        <w:rPr>
          <w:rFonts w:ascii="Times New Roman" w:hAnsi="Times New Roman" w:cs="Times New Roman"/>
          <w:iCs/>
          <w:color w:val="000000" w:themeColor="text1"/>
          <w:sz w:val="24"/>
          <w:szCs w:val="24"/>
        </w:rPr>
        <w:t>,</w:t>
      </w:r>
      <w:r w:rsidR="001A164A" w:rsidRPr="00462C0B">
        <w:rPr>
          <w:rFonts w:ascii="Times New Roman" w:hAnsi="Times New Roman" w:cs="Times New Roman"/>
          <w:iCs/>
          <w:color w:val="000000" w:themeColor="text1"/>
          <w:sz w:val="24"/>
          <w:szCs w:val="24"/>
        </w:rPr>
        <w:t xml:space="preserve"> </w:t>
      </w:r>
      <w:r w:rsidR="00B76876" w:rsidRPr="00462C0B">
        <w:rPr>
          <w:rFonts w:ascii="Times New Roman" w:hAnsi="Times New Roman" w:cs="Times New Roman"/>
          <w:iCs/>
          <w:color w:val="000000" w:themeColor="text1"/>
          <w:sz w:val="24"/>
          <w:szCs w:val="24"/>
        </w:rPr>
        <w:t xml:space="preserve">a multiplier </w:t>
      </w:r>
      <w:r w:rsidR="00935A30" w:rsidRPr="00462C0B">
        <w:rPr>
          <w:rFonts w:ascii="Times New Roman" w:hAnsi="Times New Roman" w:cs="Times New Roman"/>
          <w:iCs/>
          <w:color w:val="000000" w:themeColor="text1"/>
          <w:sz w:val="24"/>
          <w:szCs w:val="24"/>
        </w:rPr>
        <w:t xml:space="preserve">should be employed </w:t>
      </w:r>
      <w:r w:rsidR="00B76876" w:rsidRPr="00462C0B">
        <w:rPr>
          <w:rFonts w:ascii="Times New Roman" w:hAnsi="Times New Roman" w:cs="Times New Roman"/>
          <w:iCs/>
          <w:color w:val="000000" w:themeColor="text1"/>
          <w:sz w:val="24"/>
          <w:szCs w:val="24"/>
        </w:rPr>
        <w:t xml:space="preserve">to reduce uncertainty and losses. There is a balance between too low a multiplier that has no benefits ecologically and too high a multiplier which results in </w:t>
      </w:r>
      <w:r w:rsidR="00B531CE" w:rsidRPr="00462C0B">
        <w:rPr>
          <w:rFonts w:ascii="Times New Roman" w:hAnsi="Times New Roman" w:cs="Times New Roman"/>
          <w:iCs/>
          <w:color w:val="000000" w:themeColor="text1"/>
          <w:sz w:val="24"/>
          <w:szCs w:val="24"/>
        </w:rPr>
        <w:t>overly-</w:t>
      </w:r>
      <w:r w:rsidR="00B76876" w:rsidRPr="00462C0B">
        <w:rPr>
          <w:rFonts w:ascii="Times New Roman" w:hAnsi="Times New Roman" w:cs="Times New Roman"/>
          <w:iCs/>
          <w:color w:val="000000" w:themeColor="text1"/>
          <w:sz w:val="24"/>
          <w:szCs w:val="24"/>
        </w:rPr>
        <w:t xml:space="preserve">costly credits. </w:t>
      </w:r>
      <w:r w:rsidR="00CD6A81" w:rsidRPr="00462C0B">
        <w:rPr>
          <w:rFonts w:ascii="Times New Roman" w:hAnsi="Times New Roman" w:cs="Times New Roman"/>
          <w:iCs/>
          <w:color w:val="000000" w:themeColor="text1"/>
          <w:sz w:val="24"/>
          <w:szCs w:val="24"/>
        </w:rPr>
        <w:t>Further research has shown that as the duration of the offset shortens, the</w:t>
      </w:r>
      <w:r w:rsidR="00C712F3" w:rsidRPr="00462C0B">
        <w:rPr>
          <w:rFonts w:ascii="Times New Roman" w:hAnsi="Times New Roman" w:cs="Times New Roman"/>
          <w:iCs/>
          <w:color w:val="000000" w:themeColor="text1"/>
          <w:sz w:val="24"/>
          <w:szCs w:val="24"/>
        </w:rPr>
        <w:t xml:space="preserve"> minimum multiplier </w:t>
      </w:r>
      <w:r w:rsidR="00B531CE" w:rsidRPr="00462C0B">
        <w:rPr>
          <w:rFonts w:ascii="Times New Roman" w:hAnsi="Times New Roman" w:cs="Times New Roman"/>
          <w:iCs/>
          <w:color w:val="000000" w:themeColor="text1"/>
          <w:sz w:val="24"/>
          <w:szCs w:val="24"/>
        </w:rPr>
        <w:t xml:space="preserve">value </w:t>
      </w:r>
      <w:r w:rsidR="00C712F3" w:rsidRPr="00462C0B">
        <w:rPr>
          <w:rFonts w:ascii="Times New Roman" w:hAnsi="Times New Roman" w:cs="Times New Roman"/>
          <w:iCs/>
          <w:color w:val="000000" w:themeColor="text1"/>
          <w:sz w:val="24"/>
          <w:szCs w:val="24"/>
        </w:rPr>
        <w:t>should increase (</w:t>
      </w:r>
      <w:r w:rsidR="00C712F3" w:rsidRPr="00462C0B">
        <w:rPr>
          <w:rFonts w:ascii="Times New Roman" w:hAnsi="Times New Roman" w:cs="Times New Roman"/>
          <w:sz w:val="24"/>
          <w:szCs w:val="24"/>
        </w:rPr>
        <w:t xml:space="preserve">Laitila </w:t>
      </w:r>
      <w:r w:rsidR="00C712F3" w:rsidRPr="00462C0B">
        <w:rPr>
          <w:rFonts w:ascii="Times New Roman" w:hAnsi="Times New Roman" w:cs="Times New Roman"/>
          <w:i/>
          <w:iCs/>
          <w:sz w:val="24"/>
          <w:szCs w:val="24"/>
        </w:rPr>
        <w:t>et al.</w:t>
      </w:r>
      <w:r w:rsidR="00C712F3" w:rsidRPr="00462C0B">
        <w:rPr>
          <w:rFonts w:ascii="Times New Roman" w:hAnsi="Times New Roman" w:cs="Times New Roman"/>
          <w:sz w:val="24"/>
          <w:szCs w:val="24"/>
        </w:rPr>
        <w:t xml:space="preserve"> 2014)</w:t>
      </w:r>
      <w:r w:rsidR="004E5BD1" w:rsidRPr="00462C0B">
        <w:rPr>
          <w:rFonts w:ascii="Times New Roman" w:hAnsi="Times New Roman" w:cs="Times New Roman"/>
          <w:sz w:val="24"/>
          <w:szCs w:val="24"/>
        </w:rPr>
        <w:t xml:space="preserve">. </w:t>
      </w:r>
    </w:p>
    <w:p w14:paraId="5E346A97" w14:textId="60BACD31" w:rsidR="008B51C0" w:rsidRPr="00462C0B" w:rsidRDefault="004E5BD1" w:rsidP="001167B1">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From a policy perspective, </w:t>
      </w:r>
      <w:r w:rsidR="001F6BB4" w:rsidRPr="00462C0B">
        <w:rPr>
          <w:rFonts w:ascii="Times New Roman" w:hAnsi="Times New Roman" w:cs="Times New Roman"/>
          <w:sz w:val="24"/>
          <w:szCs w:val="24"/>
        </w:rPr>
        <w:t>analysis of stakeholder attitudes</w:t>
      </w:r>
      <w:r w:rsidRPr="00462C0B">
        <w:t xml:space="preserve"> </w:t>
      </w:r>
      <w:r w:rsidRPr="00462C0B">
        <w:rPr>
          <w:rFonts w:ascii="Times New Roman" w:hAnsi="Times New Roman" w:cs="Times New Roman"/>
          <w:sz w:val="24"/>
          <w:szCs w:val="24"/>
        </w:rPr>
        <w:t xml:space="preserve">towards biodiversity offsetting in England </w:t>
      </w:r>
      <w:r w:rsidR="00B31B0E" w:rsidRPr="00462C0B">
        <w:rPr>
          <w:rFonts w:ascii="Times New Roman" w:hAnsi="Times New Roman" w:cs="Times New Roman"/>
          <w:sz w:val="24"/>
          <w:szCs w:val="24"/>
        </w:rPr>
        <w:t xml:space="preserve">has shown </w:t>
      </w:r>
      <w:r w:rsidR="001F6BB4" w:rsidRPr="00462C0B">
        <w:rPr>
          <w:rFonts w:ascii="Times New Roman" w:hAnsi="Times New Roman" w:cs="Times New Roman"/>
          <w:sz w:val="24"/>
          <w:szCs w:val="24"/>
        </w:rPr>
        <w:t>recurring concerns over the lack of evidence that determines the multiplier applied in trad</w:t>
      </w:r>
      <w:r w:rsidR="008A20AD" w:rsidRPr="00462C0B">
        <w:rPr>
          <w:rFonts w:ascii="Times New Roman" w:hAnsi="Times New Roman" w:cs="Times New Roman"/>
          <w:sz w:val="24"/>
          <w:szCs w:val="24"/>
        </w:rPr>
        <w:t>i</w:t>
      </w:r>
      <w:r w:rsidR="001F6BB4" w:rsidRPr="00462C0B">
        <w:rPr>
          <w:rFonts w:ascii="Times New Roman" w:hAnsi="Times New Roman" w:cs="Times New Roman"/>
          <w:sz w:val="24"/>
          <w:szCs w:val="24"/>
        </w:rPr>
        <w:t>n</w:t>
      </w:r>
      <w:r w:rsidR="008A20AD" w:rsidRPr="00462C0B">
        <w:rPr>
          <w:rFonts w:ascii="Times New Roman" w:hAnsi="Times New Roman" w:cs="Times New Roman"/>
          <w:sz w:val="24"/>
          <w:szCs w:val="24"/>
        </w:rPr>
        <w:t>g</w:t>
      </w:r>
      <w:r w:rsidR="001F6BB4" w:rsidRPr="00462C0B">
        <w:rPr>
          <w:rFonts w:ascii="Times New Roman" w:hAnsi="Times New Roman" w:cs="Times New Roman"/>
          <w:sz w:val="24"/>
          <w:szCs w:val="24"/>
        </w:rPr>
        <w:t xml:space="preserve"> (</w:t>
      </w:r>
      <w:proofErr w:type="spellStart"/>
      <w:r w:rsidR="001F6BB4" w:rsidRPr="00462C0B">
        <w:rPr>
          <w:rFonts w:ascii="Times New Roman" w:hAnsi="Times New Roman" w:cs="Times New Roman"/>
          <w:sz w:val="24"/>
          <w:szCs w:val="24"/>
        </w:rPr>
        <w:t>Taherzadeh</w:t>
      </w:r>
      <w:proofErr w:type="spellEnd"/>
      <w:r w:rsidR="001F6BB4" w:rsidRPr="00462C0B">
        <w:rPr>
          <w:rFonts w:ascii="Times New Roman" w:hAnsi="Times New Roman" w:cs="Times New Roman"/>
          <w:sz w:val="24"/>
          <w:szCs w:val="24"/>
        </w:rPr>
        <w:t xml:space="preserve"> and Howley 201</w:t>
      </w:r>
      <w:r w:rsidR="00B31B0E" w:rsidRPr="00462C0B">
        <w:rPr>
          <w:rFonts w:ascii="Times New Roman" w:hAnsi="Times New Roman" w:cs="Times New Roman"/>
          <w:sz w:val="24"/>
          <w:szCs w:val="24"/>
        </w:rPr>
        <w:t>8</w:t>
      </w:r>
      <w:r w:rsidR="001F6BB4" w:rsidRPr="00462C0B">
        <w:rPr>
          <w:rFonts w:ascii="Times New Roman" w:hAnsi="Times New Roman" w:cs="Times New Roman"/>
          <w:sz w:val="24"/>
          <w:szCs w:val="24"/>
        </w:rPr>
        <w:t>)</w:t>
      </w:r>
      <w:r w:rsidR="00B31B0E" w:rsidRPr="00462C0B">
        <w:rPr>
          <w:rFonts w:ascii="Times New Roman" w:hAnsi="Times New Roman" w:cs="Times New Roman"/>
          <w:sz w:val="24"/>
          <w:szCs w:val="24"/>
        </w:rPr>
        <w:t xml:space="preserve">. </w:t>
      </w:r>
      <w:r w:rsidR="008B51C0" w:rsidRPr="00462C0B">
        <w:rPr>
          <w:rFonts w:ascii="Times New Roman" w:hAnsi="Times New Roman" w:cs="Times New Roman"/>
          <w:sz w:val="24"/>
          <w:szCs w:val="24"/>
        </w:rPr>
        <w:t>Within policy frameworks, there is often a blind spot on the social effects of offset policies, for example</w:t>
      </w:r>
      <w:r w:rsidR="001167B1" w:rsidRPr="00462C0B">
        <w:rPr>
          <w:rFonts w:ascii="Times New Roman" w:hAnsi="Times New Roman" w:cs="Times New Roman"/>
          <w:sz w:val="24"/>
          <w:szCs w:val="24"/>
        </w:rPr>
        <w:t>,</w:t>
      </w:r>
      <w:r w:rsidR="008B51C0" w:rsidRPr="00462C0B">
        <w:rPr>
          <w:rFonts w:ascii="Times New Roman" w:hAnsi="Times New Roman" w:cs="Times New Roman"/>
          <w:sz w:val="24"/>
          <w:szCs w:val="24"/>
        </w:rPr>
        <w:t xml:space="preserve"> public preferences for what type of habitats and species should be offset and at what scales that </w:t>
      </w:r>
      <w:r w:rsidR="008A20AD" w:rsidRPr="00462C0B">
        <w:rPr>
          <w:rFonts w:ascii="Times New Roman" w:hAnsi="Times New Roman" w:cs="Times New Roman"/>
          <w:sz w:val="24"/>
          <w:szCs w:val="24"/>
        </w:rPr>
        <w:t>offsetting</w:t>
      </w:r>
      <w:r w:rsidR="008B51C0" w:rsidRPr="00462C0B">
        <w:rPr>
          <w:rFonts w:ascii="Times New Roman" w:hAnsi="Times New Roman" w:cs="Times New Roman"/>
          <w:sz w:val="24"/>
          <w:szCs w:val="24"/>
        </w:rPr>
        <w:t xml:space="preserve"> should take place. </w:t>
      </w:r>
      <w:r w:rsidR="001167B1" w:rsidRPr="00462C0B">
        <w:rPr>
          <w:rFonts w:ascii="Times New Roman" w:hAnsi="Times New Roman" w:cs="Times New Roman"/>
          <w:sz w:val="24"/>
          <w:szCs w:val="24"/>
        </w:rPr>
        <w:t xml:space="preserve">Within this review, we identified one </w:t>
      </w:r>
      <w:r w:rsidR="008B51C0" w:rsidRPr="00462C0B">
        <w:rPr>
          <w:rFonts w:ascii="Times New Roman" w:hAnsi="Times New Roman" w:cs="Times New Roman"/>
          <w:sz w:val="24"/>
          <w:szCs w:val="24"/>
        </w:rPr>
        <w:t xml:space="preserve">choice experiment </w:t>
      </w:r>
      <w:r w:rsidR="008B51C0" w:rsidRPr="00462C0B">
        <w:rPr>
          <w:rFonts w:ascii="Times New Roman" w:hAnsi="Times New Roman" w:cs="Times New Roman"/>
          <w:sz w:val="24"/>
          <w:szCs w:val="24"/>
        </w:rPr>
        <w:lastRenderedPageBreak/>
        <w:t xml:space="preserve">undertaken in 2012 </w:t>
      </w:r>
      <w:r w:rsidR="001167B1" w:rsidRPr="00462C0B">
        <w:rPr>
          <w:rFonts w:ascii="Times New Roman" w:hAnsi="Times New Roman" w:cs="Times New Roman"/>
          <w:sz w:val="24"/>
          <w:szCs w:val="24"/>
        </w:rPr>
        <w:t xml:space="preserve">that assessed </w:t>
      </w:r>
      <w:r w:rsidR="008B51C0" w:rsidRPr="00462C0B">
        <w:rPr>
          <w:rFonts w:ascii="Times New Roman" w:hAnsi="Times New Roman" w:cs="Times New Roman"/>
          <w:sz w:val="24"/>
          <w:szCs w:val="24"/>
        </w:rPr>
        <w:t xml:space="preserve">public preferences for compensatory mitigation of a proposed new mining operation in New South Wales (Australia). The results showed that the public preference was for a 4:1 trading ratio to reflect how many hectares of offset action would be required to be equivalent to the community value lost from a hectare of cleared endangered ecological communities. </w:t>
      </w:r>
    </w:p>
    <w:p w14:paraId="0524A34D" w14:textId="7A18F68A" w:rsidR="00F043D6" w:rsidRPr="00462C0B" w:rsidRDefault="007F6F9C" w:rsidP="003E3C57">
      <w:pPr>
        <w:spacing w:line="360" w:lineRule="auto"/>
        <w:rPr>
          <w:rFonts w:ascii="Times New Roman" w:hAnsi="Times New Roman" w:cs="Times New Roman"/>
          <w:sz w:val="24"/>
          <w:szCs w:val="24"/>
        </w:rPr>
      </w:pPr>
      <w:r w:rsidRPr="00462C0B">
        <w:rPr>
          <w:rFonts w:ascii="Times New Roman" w:hAnsi="Times New Roman" w:cs="Times New Roman"/>
          <w:sz w:val="24"/>
          <w:szCs w:val="24"/>
        </w:rPr>
        <w:t>Overall, whilst there are significant concerns arising from the ecological literature on the choice of offsets and multipliers and evidence from the environmental-economics literature that</w:t>
      </w:r>
      <w:r w:rsidR="00BF3B8B" w:rsidRPr="00462C0B">
        <w:rPr>
          <w:rFonts w:ascii="Times New Roman" w:hAnsi="Times New Roman" w:cs="Times New Roman"/>
          <w:sz w:val="24"/>
          <w:szCs w:val="24"/>
        </w:rPr>
        <w:t xml:space="preserve"> no single metric can deliver economically and ecologically beneficial outcomes, this does not seem to be the main driver </w:t>
      </w:r>
      <w:r w:rsidR="00265705" w:rsidRPr="00462C0B">
        <w:rPr>
          <w:rFonts w:ascii="Times New Roman" w:hAnsi="Times New Roman" w:cs="Times New Roman"/>
          <w:sz w:val="24"/>
          <w:szCs w:val="24"/>
        </w:rPr>
        <w:t>of</w:t>
      </w:r>
      <w:r w:rsidR="00BF3B8B" w:rsidRPr="00462C0B">
        <w:rPr>
          <w:rFonts w:ascii="Times New Roman" w:hAnsi="Times New Roman" w:cs="Times New Roman"/>
          <w:sz w:val="24"/>
          <w:szCs w:val="24"/>
        </w:rPr>
        <w:t xml:space="preserve"> the lack of uptake in offsetting by developers </w:t>
      </w:r>
      <w:r w:rsidR="00265705" w:rsidRPr="00462C0B">
        <w:rPr>
          <w:rFonts w:ascii="Times New Roman" w:hAnsi="Times New Roman" w:cs="Times New Roman"/>
          <w:sz w:val="24"/>
          <w:szCs w:val="24"/>
        </w:rPr>
        <w:t xml:space="preserve">or lack of offset creation. Indeed, practical considerations regarding </w:t>
      </w:r>
      <w:r w:rsidR="00D34E37" w:rsidRPr="00462C0B">
        <w:rPr>
          <w:rFonts w:ascii="Times New Roman" w:hAnsi="Times New Roman" w:cs="Times New Roman"/>
          <w:sz w:val="24"/>
          <w:szCs w:val="24"/>
        </w:rPr>
        <w:t xml:space="preserve">timescales, geographic trading scale, regulatory capacity and bargaining powers seem </w:t>
      </w:r>
      <w:r w:rsidR="00EF5B79" w:rsidRPr="00462C0B">
        <w:rPr>
          <w:rFonts w:ascii="Times New Roman" w:hAnsi="Times New Roman" w:cs="Times New Roman"/>
          <w:sz w:val="24"/>
          <w:szCs w:val="24"/>
        </w:rPr>
        <w:t xml:space="preserve">to </w:t>
      </w:r>
      <w:r w:rsidR="00D34E37" w:rsidRPr="00462C0B">
        <w:rPr>
          <w:rFonts w:ascii="Times New Roman" w:hAnsi="Times New Roman" w:cs="Times New Roman"/>
          <w:sz w:val="24"/>
          <w:szCs w:val="24"/>
        </w:rPr>
        <w:t>be the main obstacles</w:t>
      </w:r>
      <w:r w:rsidR="00EF5B79" w:rsidRPr="00462C0B">
        <w:rPr>
          <w:rFonts w:ascii="Times New Roman" w:hAnsi="Times New Roman" w:cs="Times New Roman"/>
          <w:sz w:val="24"/>
          <w:szCs w:val="24"/>
        </w:rPr>
        <w:t>.</w:t>
      </w:r>
    </w:p>
    <w:p w14:paraId="11C4E52A" w14:textId="5808EDC6" w:rsidR="00A65E8F" w:rsidRPr="00462C0B" w:rsidRDefault="006E2FCF" w:rsidP="008B7E83">
      <w:pPr>
        <w:pStyle w:val="Heading2"/>
      </w:pPr>
      <w:r w:rsidRPr="00462C0B">
        <w:t xml:space="preserve">Geographic </w:t>
      </w:r>
      <w:r w:rsidR="00AE05A6" w:rsidRPr="00462C0B">
        <w:t xml:space="preserve">Scale </w:t>
      </w:r>
    </w:p>
    <w:p w14:paraId="26FDFD93" w14:textId="11A6CAC6" w:rsidR="005F7342" w:rsidRPr="00462C0B" w:rsidRDefault="0005555D" w:rsidP="008B7E83">
      <w:pPr>
        <w:spacing w:line="360" w:lineRule="auto"/>
        <w:rPr>
          <w:rFonts w:ascii="Times New Roman" w:hAnsi="Times New Roman" w:cs="Times New Roman"/>
          <w:sz w:val="24"/>
          <w:szCs w:val="24"/>
        </w:rPr>
      </w:pPr>
      <w:r w:rsidRPr="00462C0B">
        <w:rPr>
          <w:rFonts w:ascii="Times New Roman" w:hAnsi="Times New Roman" w:cs="Times New Roman"/>
          <w:sz w:val="24"/>
          <w:szCs w:val="24"/>
        </w:rPr>
        <w:t>The ecological and economic outcomes of an offset market are also influenced by the scale</w:t>
      </w:r>
      <w:r w:rsidR="004D5B9D" w:rsidRPr="00462C0B">
        <w:rPr>
          <w:rFonts w:ascii="Times New Roman" w:hAnsi="Times New Roman" w:cs="Times New Roman"/>
          <w:sz w:val="24"/>
          <w:szCs w:val="24"/>
        </w:rPr>
        <w:t xml:space="preserve"> at which the market operates</w:t>
      </w:r>
      <w:r w:rsidRPr="00462C0B">
        <w:rPr>
          <w:rFonts w:ascii="Times New Roman" w:hAnsi="Times New Roman" w:cs="Times New Roman"/>
          <w:sz w:val="24"/>
          <w:szCs w:val="24"/>
        </w:rPr>
        <w:t xml:space="preserve">, by which we mean the </w:t>
      </w:r>
      <w:r w:rsidR="004D5B9D" w:rsidRPr="00462C0B">
        <w:rPr>
          <w:rFonts w:ascii="Times New Roman" w:hAnsi="Times New Roman" w:cs="Times New Roman"/>
          <w:sz w:val="24"/>
          <w:szCs w:val="24"/>
        </w:rPr>
        <w:t xml:space="preserve">geographic </w:t>
      </w:r>
      <w:r w:rsidRPr="00462C0B">
        <w:rPr>
          <w:rFonts w:ascii="Times New Roman" w:hAnsi="Times New Roman" w:cs="Times New Roman"/>
          <w:sz w:val="24"/>
          <w:szCs w:val="24"/>
        </w:rPr>
        <w:t>area over which developers and offset providers can trade</w:t>
      </w:r>
      <w:r w:rsidR="0011646F" w:rsidRPr="00462C0B">
        <w:rPr>
          <w:rFonts w:ascii="Times New Roman" w:hAnsi="Times New Roman" w:cs="Times New Roman"/>
          <w:sz w:val="24"/>
          <w:szCs w:val="24"/>
        </w:rPr>
        <w:t xml:space="preserve">. </w:t>
      </w:r>
      <w:r w:rsidR="00943884" w:rsidRPr="00462C0B">
        <w:rPr>
          <w:rFonts w:ascii="Times New Roman" w:hAnsi="Times New Roman" w:cs="Times New Roman"/>
          <w:sz w:val="24"/>
          <w:szCs w:val="24"/>
        </w:rPr>
        <w:t>Large</w:t>
      </w:r>
      <w:r w:rsidR="00557231" w:rsidRPr="00462C0B">
        <w:rPr>
          <w:rFonts w:ascii="Times New Roman" w:hAnsi="Times New Roman" w:cs="Times New Roman"/>
          <w:sz w:val="24"/>
          <w:szCs w:val="24"/>
        </w:rPr>
        <w:t>r</w:t>
      </w:r>
      <w:r w:rsidR="00943884" w:rsidRPr="00462C0B">
        <w:rPr>
          <w:rFonts w:ascii="Times New Roman" w:hAnsi="Times New Roman" w:cs="Times New Roman"/>
          <w:sz w:val="24"/>
          <w:szCs w:val="24"/>
        </w:rPr>
        <w:t xml:space="preserve"> trading regions increase </w:t>
      </w:r>
      <w:r w:rsidR="009941FC" w:rsidRPr="00462C0B">
        <w:rPr>
          <w:rFonts w:ascii="Times New Roman" w:hAnsi="Times New Roman" w:cs="Times New Roman"/>
          <w:sz w:val="24"/>
          <w:szCs w:val="24"/>
        </w:rPr>
        <w:t xml:space="preserve">the scope of gains from trade between suppliers and </w:t>
      </w:r>
      <w:r w:rsidR="00553809" w:rsidRPr="00462C0B">
        <w:rPr>
          <w:rFonts w:ascii="Times New Roman" w:hAnsi="Times New Roman" w:cs="Times New Roman"/>
          <w:sz w:val="24"/>
          <w:szCs w:val="24"/>
        </w:rPr>
        <w:t>demanders but</w:t>
      </w:r>
      <w:r w:rsidR="00552063" w:rsidRPr="00462C0B">
        <w:rPr>
          <w:rFonts w:ascii="Times New Roman" w:hAnsi="Times New Roman" w:cs="Times New Roman"/>
          <w:sz w:val="24"/>
          <w:szCs w:val="24"/>
        </w:rPr>
        <w:t xml:space="preserve"> allow conservation </w:t>
      </w:r>
      <w:r w:rsidR="00557231" w:rsidRPr="00462C0B">
        <w:rPr>
          <w:rFonts w:ascii="Times New Roman" w:hAnsi="Times New Roman" w:cs="Times New Roman"/>
          <w:sz w:val="24"/>
          <w:szCs w:val="24"/>
        </w:rPr>
        <w:t xml:space="preserve">actions </w:t>
      </w:r>
      <w:r w:rsidR="00552063" w:rsidRPr="00462C0B">
        <w:rPr>
          <w:rFonts w:ascii="Times New Roman" w:hAnsi="Times New Roman" w:cs="Times New Roman"/>
          <w:sz w:val="24"/>
          <w:szCs w:val="24"/>
        </w:rPr>
        <w:t xml:space="preserve">to be </w:t>
      </w:r>
      <w:r w:rsidR="00557231" w:rsidRPr="00462C0B">
        <w:rPr>
          <w:rFonts w:ascii="Times New Roman" w:hAnsi="Times New Roman" w:cs="Times New Roman"/>
          <w:sz w:val="24"/>
          <w:szCs w:val="24"/>
        </w:rPr>
        <w:t xml:space="preserve">more </w:t>
      </w:r>
      <w:r w:rsidR="00552063" w:rsidRPr="00462C0B">
        <w:rPr>
          <w:rFonts w:ascii="Times New Roman" w:hAnsi="Times New Roman" w:cs="Times New Roman"/>
          <w:sz w:val="24"/>
          <w:szCs w:val="24"/>
        </w:rPr>
        <w:t xml:space="preserve">distant from </w:t>
      </w:r>
      <w:r w:rsidR="00557231" w:rsidRPr="00462C0B">
        <w:rPr>
          <w:rFonts w:ascii="Times New Roman" w:hAnsi="Times New Roman" w:cs="Times New Roman"/>
          <w:sz w:val="24"/>
          <w:szCs w:val="24"/>
        </w:rPr>
        <w:t xml:space="preserve">the </w:t>
      </w:r>
      <w:r w:rsidR="00552063" w:rsidRPr="00462C0B">
        <w:rPr>
          <w:rFonts w:ascii="Times New Roman" w:hAnsi="Times New Roman" w:cs="Times New Roman"/>
          <w:sz w:val="24"/>
          <w:szCs w:val="24"/>
        </w:rPr>
        <w:t>impacts</w:t>
      </w:r>
      <w:r w:rsidR="00557231" w:rsidRPr="00462C0B">
        <w:rPr>
          <w:rFonts w:ascii="Times New Roman" w:hAnsi="Times New Roman" w:cs="Times New Roman"/>
          <w:sz w:val="24"/>
          <w:szCs w:val="24"/>
        </w:rPr>
        <w:t xml:space="preserve"> they are designed to offset</w:t>
      </w:r>
      <w:r w:rsidR="00552063" w:rsidRPr="00462C0B">
        <w:rPr>
          <w:rFonts w:ascii="Times New Roman" w:hAnsi="Times New Roman" w:cs="Times New Roman"/>
          <w:sz w:val="24"/>
          <w:szCs w:val="24"/>
        </w:rPr>
        <w:t xml:space="preserve"> </w:t>
      </w:r>
      <w:r w:rsidR="00943884" w:rsidRPr="00462C0B">
        <w:rPr>
          <w:rFonts w:ascii="Times New Roman" w:hAnsi="Times New Roman" w:cs="Times New Roman"/>
          <w:sz w:val="24"/>
          <w:szCs w:val="24"/>
        </w:rPr>
        <w:t xml:space="preserve">(BenDor </w:t>
      </w:r>
      <w:r w:rsidR="00943884" w:rsidRPr="00462C0B">
        <w:rPr>
          <w:rFonts w:ascii="Times New Roman" w:hAnsi="Times New Roman" w:cs="Times New Roman"/>
          <w:i/>
          <w:iCs/>
          <w:sz w:val="24"/>
          <w:szCs w:val="24"/>
        </w:rPr>
        <w:t>et al</w:t>
      </w:r>
      <w:r w:rsidR="002F2D9C" w:rsidRPr="00462C0B">
        <w:rPr>
          <w:rFonts w:ascii="Times New Roman" w:hAnsi="Times New Roman" w:cs="Times New Roman"/>
          <w:i/>
          <w:iCs/>
          <w:sz w:val="24"/>
          <w:szCs w:val="24"/>
        </w:rPr>
        <w:t>.</w:t>
      </w:r>
      <w:r w:rsidR="00943884" w:rsidRPr="00462C0B">
        <w:rPr>
          <w:rFonts w:ascii="Times New Roman" w:hAnsi="Times New Roman" w:cs="Times New Roman"/>
          <w:sz w:val="24"/>
          <w:szCs w:val="24"/>
        </w:rPr>
        <w:t xml:space="preserve"> 2011). </w:t>
      </w:r>
      <w:r w:rsidR="00551B63" w:rsidRPr="00462C0B">
        <w:rPr>
          <w:rFonts w:ascii="Times New Roman" w:hAnsi="Times New Roman" w:cs="Times New Roman"/>
          <w:sz w:val="24"/>
          <w:szCs w:val="24"/>
        </w:rPr>
        <w:t>Similar results were found in e</w:t>
      </w:r>
      <w:r w:rsidR="00552063" w:rsidRPr="00462C0B">
        <w:rPr>
          <w:rFonts w:ascii="Times New Roman" w:hAnsi="Times New Roman" w:cs="Times New Roman"/>
          <w:sz w:val="24"/>
          <w:szCs w:val="24"/>
        </w:rPr>
        <w:t>cological-economic simulation</w:t>
      </w:r>
      <w:r w:rsidR="00551B63" w:rsidRPr="00462C0B">
        <w:rPr>
          <w:rFonts w:ascii="Times New Roman" w:hAnsi="Times New Roman" w:cs="Times New Roman"/>
          <w:sz w:val="24"/>
          <w:szCs w:val="24"/>
        </w:rPr>
        <w:t>s</w:t>
      </w:r>
      <w:r w:rsidR="00552063" w:rsidRPr="00462C0B">
        <w:rPr>
          <w:rFonts w:ascii="Times New Roman" w:hAnsi="Times New Roman" w:cs="Times New Roman"/>
          <w:sz w:val="24"/>
          <w:szCs w:val="24"/>
        </w:rPr>
        <w:t xml:space="preserve"> of offset market in England </w:t>
      </w:r>
      <w:r w:rsidR="00551B63" w:rsidRPr="00462C0B">
        <w:rPr>
          <w:rFonts w:ascii="Times New Roman" w:hAnsi="Times New Roman" w:cs="Times New Roman"/>
          <w:sz w:val="24"/>
          <w:szCs w:val="24"/>
        </w:rPr>
        <w:t xml:space="preserve">that </w:t>
      </w:r>
      <w:r w:rsidR="00552063" w:rsidRPr="00462C0B">
        <w:rPr>
          <w:rFonts w:ascii="Times New Roman" w:hAnsi="Times New Roman" w:cs="Times New Roman"/>
          <w:sz w:val="24"/>
          <w:szCs w:val="24"/>
        </w:rPr>
        <w:t>showed that larger trading areas benefit developers by placing downward pressure on credit price</w:t>
      </w:r>
      <w:r w:rsidR="00551B63" w:rsidRPr="00462C0B">
        <w:rPr>
          <w:rFonts w:ascii="Times New Roman" w:hAnsi="Times New Roman" w:cs="Times New Roman"/>
          <w:sz w:val="24"/>
          <w:szCs w:val="24"/>
        </w:rPr>
        <w:t>. In contrast, smaller trading areas were more beneficial ecol</w:t>
      </w:r>
      <w:r w:rsidR="008978F2" w:rsidRPr="00462C0B">
        <w:rPr>
          <w:rFonts w:ascii="Times New Roman" w:hAnsi="Times New Roman" w:cs="Times New Roman"/>
          <w:sz w:val="24"/>
          <w:szCs w:val="24"/>
        </w:rPr>
        <w:t>og</w:t>
      </w:r>
      <w:r w:rsidR="00551B63" w:rsidRPr="00462C0B">
        <w:rPr>
          <w:rFonts w:ascii="Times New Roman" w:hAnsi="Times New Roman" w:cs="Times New Roman"/>
          <w:sz w:val="24"/>
          <w:szCs w:val="24"/>
        </w:rPr>
        <w:t xml:space="preserve">ically </w:t>
      </w:r>
      <w:r w:rsidR="008978F2" w:rsidRPr="00462C0B">
        <w:rPr>
          <w:rFonts w:ascii="Times New Roman" w:hAnsi="Times New Roman" w:cs="Times New Roman"/>
          <w:sz w:val="24"/>
          <w:szCs w:val="24"/>
        </w:rPr>
        <w:t>by reducing the distance between impact and offset site, but also increasing the credit by price and therefore reducing credit demand</w:t>
      </w:r>
      <w:r w:rsidR="00550DE3" w:rsidRPr="00462C0B">
        <w:rPr>
          <w:rFonts w:ascii="Times New Roman" w:hAnsi="Times New Roman" w:cs="Times New Roman"/>
          <w:sz w:val="24"/>
          <w:szCs w:val="24"/>
        </w:rPr>
        <w:t xml:space="preserve">, and therefore </w:t>
      </w:r>
      <w:r w:rsidR="00A02F53" w:rsidRPr="00462C0B">
        <w:rPr>
          <w:rFonts w:ascii="Times New Roman" w:hAnsi="Times New Roman" w:cs="Times New Roman"/>
          <w:sz w:val="24"/>
          <w:szCs w:val="24"/>
        </w:rPr>
        <w:t>resulting in fewer</w:t>
      </w:r>
      <w:r w:rsidR="00550DE3" w:rsidRPr="00462C0B">
        <w:rPr>
          <w:rFonts w:ascii="Times New Roman" w:hAnsi="Times New Roman" w:cs="Times New Roman"/>
          <w:sz w:val="24"/>
          <w:szCs w:val="24"/>
        </w:rPr>
        <w:t xml:space="preserve"> negative impacts on biodiversity </w:t>
      </w:r>
      <w:proofErr w:type="gramStart"/>
      <w:r w:rsidR="00553809">
        <w:rPr>
          <w:rFonts w:ascii="Times New Roman" w:hAnsi="Times New Roman" w:cs="Times New Roman"/>
          <w:sz w:val="24"/>
          <w:szCs w:val="24"/>
        </w:rPr>
        <w:t>and also</w:t>
      </w:r>
      <w:proofErr w:type="gramEnd"/>
      <w:r w:rsidR="00553809">
        <w:rPr>
          <w:rFonts w:ascii="Times New Roman" w:hAnsi="Times New Roman" w:cs="Times New Roman"/>
          <w:sz w:val="24"/>
          <w:szCs w:val="24"/>
        </w:rPr>
        <w:t xml:space="preserve"> fewer housing developments </w:t>
      </w:r>
      <w:r w:rsidR="00550DE3" w:rsidRPr="00462C0B">
        <w:rPr>
          <w:rFonts w:ascii="Times New Roman" w:hAnsi="Times New Roman" w:cs="Times New Roman"/>
          <w:sz w:val="24"/>
          <w:szCs w:val="24"/>
        </w:rPr>
        <w:t xml:space="preserve">(Simpson </w:t>
      </w:r>
      <w:r w:rsidR="00550DE3" w:rsidRPr="00462C0B">
        <w:rPr>
          <w:rFonts w:ascii="Times New Roman" w:hAnsi="Times New Roman" w:cs="Times New Roman"/>
          <w:i/>
          <w:iCs/>
          <w:sz w:val="24"/>
          <w:szCs w:val="24"/>
        </w:rPr>
        <w:t>et al</w:t>
      </w:r>
      <w:r w:rsidR="00550DE3" w:rsidRPr="00462C0B">
        <w:rPr>
          <w:rFonts w:ascii="Times New Roman" w:hAnsi="Times New Roman" w:cs="Times New Roman"/>
          <w:sz w:val="24"/>
          <w:szCs w:val="24"/>
        </w:rPr>
        <w:t xml:space="preserve">. 2021).  </w:t>
      </w:r>
      <w:r w:rsidR="00281220" w:rsidRPr="00462C0B">
        <w:rPr>
          <w:rFonts w:ascii="Times New Roman" w:hAnsi="Times New Roman" w:cs="Times New Roman"/>
          <w:sz w:val="24"/>
          <w:szCs w:val="24"/>
        </w:rPr>
        <w:t xml:space="preserve">Conservationists </w:t>
      </w:r>
      <w:r w:rsidR="002A64A5" w:rsidRPr="00462C0B">
        <w:rPr>
          <w:rFonts w:ascii="Times New Roman" w:hAnsi="Times New Roman" w:cs="Times New Roman"/>
          <w:sz w:val="24"/>
          <w:szCs w:val="24"/>
        </w:rPr>
        <w:t xml:space="preserve">have long argued that </w:t>
      </w:r>
      <w:r w:rsidR="00281220" w:rsidRPr="00462C0B">
        <w:rPr>
          <w:rFonts w:ascii="Times New Roman" w:hAnsi="Times New Roman" w:cs="Times New Roman"/>
          <w:sz w:val="24"/>
          <w:szCs w:val="24"/>
        </w:rPr>
        <w:t xml:space="preserve">large </w:t>
      </w:r>
      <w:r w:rsidR="002A64A5" w:rsidRPr="00462C0B">
        <w:rPr>
          <w:rFonts w:ascii="Times New Roman" w:hAnsi="Times New Roman" w:cs="Times New Roman"/>
          <w:sz w:val="24"/>
          <w:szCs w:val="24"/>
        </w:rPr>
        <w:t>trading regions</w:t>
      </w:r>
      <w:r w:rsidR="00281220" w:rsidRPr="00462C0B">
        <w:rPr>
          <w:rFonts w:ascii="Times New Roman" w:hAnsi="Times New Roman" w:cs="Times New Roman"/>
          <w:sz w:val="24"/>
          <w:szCs w:val="24"/>
        </w:rPr>
        <w:t xml:space="preserve"> run the risk of offset</w:t>
      </w:r>
      <w:r w:rsidR="002A64A5" w:rsidRPr="00462C0B">
        <w:rPr>
          <w:rFonts w:ascii="Times New Roman" w:hAnsi="Times New Roman" w:cs="Times New Roman"/>
          <w:sz w:val="24"/>
          <w:szCs w:val="24"/>
        </w:rPr>
        <w:t xml:space="preserve">s being located far from </w:t>
      </w:r>
      <w:r w:rsidR="00281220" w:rsidRPr="00462C0B">
        <w:rPr>
          <w:rFonts w:ascii="Times New Roman" w:hAnsi="Times New Roman" w:cs="Times New Roman"/>
          <w:sz w:val="24"/>
          <w:szCs w:val="24"/>
        </w:rPr>
        <w:t xml:space="preserve">the original site leading to changes in the functional quality and scale of habitats. Reviews of the USA </w:t>
      </w:r>
      <w:r w:rsidR="007918F7" w:rsidRPr="00462C0B">
        <w:rPr>
          <w:rFonts w:ascii="Times New Roman" w:hAnsi="Times New Roman" w:cs="Times New Roman"/>
          <w:sz w:val="24"/>
          <w:szCs w:val="24"/>
        </w:rPr>
        <w:t xml:space="preserve">wetland mitigation banking </w:t>
      </w:r>
      <w:r w:rsidR="00281220" w:rsidRPr="00462C0B">
        <w:rPr>
          <w:rFonts w:ascii="Times New Roman" w:hAnsi="Times New Roman" w:cs="Times New Roman"/>
          <w:sz w:val="24"/>
          <w:szCs w:val="24"/>
        </w:rPr>
        <w:t>market</w:t>
      </w:r>
      <w:r w:rsidR="007918F7" w:rsidRPr="00462C0B">
        <w:rPr>
          <w:rFonts w:ascii="Times New Roman" w:hAnsi="Times New Roman" w:cs="Times New Roman"/>
          <w:sz w:val="24"/>
          <w:szCs w:val="24"/>
        </w:rPr>
        <w:t>s</w:t>
      </w:r>
      <w:r w:rsidR="00281220" w:rsidRPr="00462C0B">
        <w:rPr>
          <w:rFonts w:ascii="Times New Roman" w:hAnsi="Times New Roman" w:cs="Times New Roman"/>
          <w:sz w:val="24"/>
          <w:szCs w:val="24"/>
        </w:rPr>
        <w:t xml:space="preserve"> have shown that in some states there are high levels of cross</w:t>
      </w:r>
      <w:r w:rsidR="00B73AFF">
        <w:rPr>
          <w:rFonts w:ascii="Times New Roman" w:hAnsi="Times New Roman" w:cs="Times New Roman"/>
          <w:sz w:val="24"/>
          <w:szCs w:val="24"/>
        </w:rPr>
        <w:t>-</w:t>
      </w:r>
      <w:r w:rsidR="00281220" w:rsidRPr="00462C0B">
        <w:rPr>
          <w:rFonts w:ascii="Times New Roman" w:hAnsi="Times New Roman" w:cs="Times New Roman"/>
          <w:sz w:val="24"/>
          <w:szCs w:val="24"/>
        </w:rPr>
        <w:t xml:space="preserve">watershed mitigation, resulting in changes to function quality and scale of wetlands (BenDor and Brozović 2007; Kettlewell </w:t>
      </w:r>
      <w:r w:rsidR="00281220" w:rsidRPr="00462C0B">
        <w:rPr>
          <w:rFonts w:ascii="Times New Roman" w:hAnsi="Times New Roman" w:cs="Times New Roman"/>
          <w:i/>
          <w:iCs/>
          <w:sz w:val="24"/>
          <w:szCs w:val="24"/>
        </w:rPr>
        <w:t>et al</w:t>
      </w:r>
      <w:r w:rsidR="00281220" w:rsidRPr="00462C0B">
        <w:rPr>
          <w:rFonts w:ascii="Times New Roman" w:hAnsi="Times New Roman" w:cs="Times New Roman"/>
          <w:sz w:val="24"/>
          <w:szCs w:val="24"/>
        </w:rPr>
        <w:t>. 2008). However, isolated mitigation projects are more likely to fail when compared to a project that is incorporated into a larger, ecosystem-based conservation bank or regional conservation plan</w:t>
      </w:r>
      <w:r w:rsidR="00A02F53" w:rsidRPr="00462C0B">
        <w:rPr>
          <w:rFonts w:ascii="Times New Roman" w:hAnsi="Times New Roman" w:cs="Times New Roman"/>
          <w:sz w:val="24"/>
          <w:szCs w:val="24"/>
        </w:rPr>
        <w:t>, if there are positive spatial spillovers in terms of ecological connectivity</w:t>
      </w:r>
      <w:r w:rsidR="00281220" w:rsidRPr="00462C0B">
        <w:rPr>
          <w:rFonts w:ascii="Times New Roman" w:hAnsi="Times New Roman" w:cs="Times New Roman"/>
          <w:sz w:val="24"/>
          <w:szCs w:val="24"/>
        </w:rPr>
        <w:t xml:space="preserve"> (Crooks and Ledoux 2000). </w:t>
      </w:r>
      <w:r w:rsidR="007918F7" w:rsidRPr="00462C0B">
        <w:rPr>
          <w:rFonts w:ascii="Times New Roman" w:hAnsi="Times New Roman" w:cs="Times New Roman"/>
          <w:sz w:val="24"/>
          <w:szCs w:val="24"/>
        </w:rPr>
        <w:t>Furthermore, e</w:t>
      </w:r>
      <w:r w:rsidR="00B17CB9" w:rsidRPr="00462C0B">
        <w:rPr>
          <w:rFonts w:ascii="Times New Roman" w:hAnsi="Times New Roman" w:cs="Times New Roman"/>
          <w:sz w:val="24"/>
          <w:szCs w:val="24"/>
        </w:rPr>
        <w:t xml:space="preserve">conomic analysis of offset markets </w:t>
      </w:r>
      <w:r w:rsidR="00B17CB9" w:rsidRPr="00462C0B">
        <w:rPr>
          <w:rFonts w:ascii="Times New Roman" w:hAnsi="Times New Roman" w:cs="Times New Roman"/>
          <w:sz w:val="24"/>
          <w:szCs w:val="24"/>
        </w:rPr>
        <w:lastRenderedPageBreak/>
        <w:t xml:space="preserve">has shown that in developing mitigation banks, economies of scale may be realized </w:t>
      </w:r>
      <w:r w:rsidR="00A86FDD" w:rsidRPr="00462C0B">
        <w:rPr>
          <w:rFonts w:ascii="Times New Roman" w:hAnsi="Times New Roman" w:cs="Times New Roman"/>
          <w:sz w:val="24"/>
          <w:szCs w:val="24"/>
        </w:rPr>
        <w:t>from large, off-site mitigation banks</w:t>
      </w:r>
      <w:r w:rsidR="00464718" w:rsidRPr="00462C0B">
        <w:rPr>
          <w:rFonts w:ascii="Times New Roman" w:hAnsi="Times New Roman" w:cs="Times New Roman"/>
          <w:sz w:val="24"/>
          <w:szCs w:val="24"/>
        </w:rPr>
        <w:t xml:space="preserve"> </w:t>
      </w:r>
      <w:r w:rsidR="00A8361E">
        <w:rPr>
          <w:rFonts w:ascii="Times New Roman" w:hAnsi="Times New Roman" w:cs="Times New Roman"/>
          <w:sz w:val="24"/>
          <w:szCs w:val="24"/>
        </w:rPr>
        <w:t>since</w:t>
      </w:r>
      <w:r w:rsidR="00464718" w:rsidRPr="00462C0B">
        <w:rPr>
          <w:rFonts w:ascii="Times New Roman" w:hAnsi="Times New Roman" w:cs="Times New Roman"/>
          <w:sz w:val="24"/>
          <w:szCs w:val="24"/>
        </w:rPr>
        <w:t xml:space="preserve"> o</w:t>
      </w:r>
      <w:r w:rsidR="00A86FDD" w:rsidRPr="00462C0B">
        <w:rPr>
          <w:rFonts w:ascii="Times New Roman" w:hAnsi="Times New Roman" w:cs="Times New Roman"/>
          <w:sz w:val="24"/>
          <w:szCs w:val="24"/>
        </w:rPr>
        <w:t>ne large-scale wetland restoration site may cost less and provide more environmental benefit than several small restoration site</w:t>
      </w:r>
      <w:r w:rsidR="00464718" w:rsidRPr="00462C0B">
        <w:rPr>
          <w:rFonts w:ascii="Times New Roman" w:hAnsi="Times New Roman" w:cs="Times New Roman"/>
          <w:sz w:val="24"/>
          <w:szCs w:val="24"/>
        </w:rPr>
        <w:t>s (Bonds and Pompe 2003).</w:t>
      </w:r>
      <w:r w:rsidR="008B7E83" w:rsidRPr="00462C0B">
        <w:rPr>
          <w:rFonts w:ascii="Times New Roman" w:hAnsi="Times New Roman" w:cs="Times New Roman"/>
          <w:sz w:val="24"/>
          <w:szCs w:val="24"/>
        </w:rPr>
        <w:t xml:space="preserve"> </w:t>
      </w:r>
    </w:p>
    <w:p w14:paraId="7B14FA4E" w14:textId="7064C267" w:rsidR="00822D42" w:rsidRPr="00462C0B" w:rsidRDefault="00FA70AE" w:rsidP="006A0738">
      <w:pPr>
        <w:pStyle w:val="Heading2"/>
      </w:pPr>
      <w:r w:rsidRPr="00462C0B">
        <w:t xml:space="preserve">The role of transaction costs </w:t>
      </w:r>
    </w:p>
    <w:p w14:paraId="6ED38BAD" w14:textId="46622D2C" w:rsidR="00822D42" w:rsidRPr="00462C0B" w:rsidRDefault="00822D42" w:rsidP="00822D42">
      <w:pPr>
        <w:spacing w:line="360" w:lineRule="auto"/>
        <w:rPr>
          <w:rFonts w:ascii="Times New Roman" w:hAnsi="Times New Roman" w:cs="Times New Roman"/>
          <w:color w:val="000000" w:themeColor="text1"/>
          <w:sz w:val="24"/>
          <w:szCs w:val="24"/>
        </w:rPr>
      </w:pPr>
      <w:r w:rsidRPr="00462C0B">
        <w:rPr>
          <w:rFonts w:ascii="Times New Roman" w:hAnsi="Times New Roman" w:cs="Times New Roman"/>
          <w:sz w:val="24"/>
          <w:szCs w:val="24"/>
        </w:rPr>
        <w:t xml:space="preserve">Transaction costs are expenses incurred when buying or selling a good or service and are a key feature of markets for biodiversity offsets. Developers incur transaction costs through the time and resources expended first to understand what an offset </w:t>
      </w:r>
      <w:r w:rsidR="00FA5961" w:rsidRPr="00462C0B">
        <w:rPr>
          <w:rFonts w:ascii="Times New Roman" w:hAnsi="Times New Roman" w:cs="Times New Roman"/>
          <w:sz w:val="24"/>
          <w:szCs w:val="24"/>
        </w:rPr>
        <w:t>i</w:t>
      </w:r>
      <w:r w:rsidRPr="00462C0B">
        <w:rPr>
          <w:rFonts w:ascii="Times New Roman" w:hAnsi="Times New Roman" w:cs="Times New Roman"/>
          <w:sz w:val="24"/>
          <w:szCs w:val="24"/>
        </w:rPr>
        <w:t>s</w:t>
      </w:r>
      <w:r w:rsidR="00FA5961" w:rsidRPr="00462C0B">
        <w:rPr>
          <w:rFonts w:ascii="Times New Roman" w:hAnsi="Times New Roman" w:cs="Times New Roman"/>
          <w:sz w:val="24"/>
          <w:szCs w:val="24"/>
        </w:rPr>
        <w:t>,</w:t>
      </w:r>
      <w:r w:rsidRPr="00462C0B">
        <w:rPr>
          <w:rFonts w:ascii="Times New Roman" w:hAnsi="Times New Roman" w:cs="Times New Roman"/>
          <w:sz w:val="24"/>
          <w:szCs w:val="24"/>
        </w:rPr>
        <w:t xml:space="preserve"> and then in determining what to propose as an offset for their impact. The effect on transaction costs depend</w:t>
      </w:r>
      <w:r w:rsidR="00FA70AE" w:rsidRPr="00462C0B">
        <w:rPr>
          <w:rFonts w:ascii="Times New Roman" w:hAnsi="Times New Roman" w:cs="Times New Roman"/>
          <w:sz w:val="24"/>
          <w:szCs w:val="24"/>
        </w:rPr>
        <w:t>s</w:t>
      </w:r>
      <w:r w:rsidRPr="00462C0B">
        <w:rPr>
          <w:rFonts w:ascii="Times New Roman" w:hAnsi="Times New Roman" w:cs="Times New Roman"/>
          <w:sz w:val="24"/>
          <w:szCs w:val="24"/>
        </w:rPr>
        <w:t xml:space="preserve"> on the guidance available to developers to inform how many offset credits they need to purchase. Identifying an offset supplier also incurs transaction costs</w:t>
      </w:r>
      <w:r w:rsidR="007D0893" w:rsidRPr="00462C0B">
        <w:rPr>
          <w:rFonts w:ascii="Times New Roman" w:hAnsi="Times New Roman" w:cs="Times New Roman"/>
          <w:sz w:val="24"/>
          <w:szCs w:val="24"/>
        </w:rPr>
        <w:t xml:space="preserve"> (search costs)</w:t>
      </w:r>
      <w:r w:rsidRPr="00462C0B">
        <w:rPr>
          <w:rFonts w:ascii="Times New Roman" w:hAnsi="Times New Roman" w:cs="Times New Roman"/>
          <w:sz w:val="24"/>
          <w:szCs w:val="24"/>
        </w:rPr>
        <w:t xml:space="preserve">, as well as the costs incurred during negotiation to finalise the offset arrangement. For suppliers, the main transaction costs arise from the determining what they can contribute as an offset. Scheme administrators also incur transaction costs in terms of the time and resources needed to determine whether an offset is suitable; the processing, negotiating and re-negotiating of offset proposals </w:t>
      </w:r>
      <w:proofErr w:type="gramStart"/>
      <w:r w:rsidRPr="00462C0B">
        <w:rPr>
          <w:rFonts w:ascii="Times New Roman" w:hAnsi="Times New Roman" w:cs="Times New Roman"/>
          <w:sz w:val="24"/>
          <w:szCs w:val="24"/>
        </w:rPr>
        <w:t>and also</w:t>
      </w:r>
      <w:proofErr w:type="gramEnd"/>
      <w:r w:rsidRPr="00462C0B">
        <w:rPr>
          <w:rFonts w:ascii="Times New Roman" w:hAnsi="Times New Roman" w:cs="Times New Roman"/>
          <w:sz w:val="24"/>
          <w:szCs w:val="24"/>
        </w:rPr>
        <w:t xml:space="preserve"> the follow up monitoring and enforcement. For offsets to be considered cost-effective, these transaction costs need to be less than the benefits from trade (Coggan </w:t>
      </w:r>
      <w:r w:rsidRPr="00462C0B">
        <w:rPr>
          <w:rFonts w:ascii="Times New Roman" w:hAnsi="Times New Roman" w:cs="Times New Roman"/>
          <w:i/>
          <w:iCs/>
          <w:sz w:val="24"/>
          <w:szCs w:val="24"/>
        </w:rPr>
        <w:t>et al</w:t>
      </w:r>
      <w:r w:rsidR="00B20EE9" w:rsidRPr="00462C0B">
        <w:rPr>
          <w:rFonts w:ascii="Times New Roman" w:hAnsi="Times New Roman" w:cs="Times New Roman"/>
          <w:i/>
          <w:iCs/>
          <w:sz w:val="24"/>
          <w:szCs w:val="24"/>
        </w:rPr>
        <w:t>.</w:t>
      </w:r>
      <w:r w:rsidRPr="00462C0B">
        <w:rPr>
          <w:rFonts w:ascii="Times New Roman" w:hAnsi="Times New Roman" w:cs="Times New Roman"/>
          <w:sz w:val="24"/>
          <w:szCs w:val="24"/>
        </w:rPr>
        <w:t xml:space="preserve"> 2013</w:t>
      </w:r>
      <w:r w:rsidR="00D71406" w:rsidRPr="00462C0B">
        <w:rPr>
          <w:rFonts w:ascii="Times New Roman" w:hAnsi="Times New Roman" w:cs="Times New Roman"/>
          <w:sz w:val="24"/>
          <w:szCs w:val="24"/>
        </w:rPr>
        <w:t>a</w:t>
      </w:r>
      <w:r w:rsidRPr="00462C0B">
        <w:rPr>
          <w:rFonts w:ascii="Times New Roman" w:hAnsi="Times New Roman" w:cs="Times New Roman"/>
          <w:sz w:val="24"/>
          <w:szCs w:val="24"/>
        </w:rPr>
        <w:t xml:space="preserve">). </w:t>
      </w:r>
      <w:r w:rsidRPr="00462C0B">
        <w:rPr>
          <w:rFonts w:ascii="Times New Roman" w:hAnsi="Times New Roman" w:cs="Times New Roman"/>
          <w:color w:val="000000" w:themeColor="text1"/>
          <w:sz w:val="24"/>
          <w:szCs w:val="24"/>
        </w:rPr>
        <w:t xml:space="preserve">Despite the recognition of transaction costs as a key feature of offset markets (and markets more broadly) there is a lack of empirical literature on the subject. Several papers make reference as to how transaction costs can be reduced e.g. generating ways for offset buyers and sellers to quickly access accurate ecological information, supporting the emergence and use of information specialists such as brokers, and the development of a database of suppliers that is publicly available to all developers (Bonds and Pompe 2003; Coggan </w:t>
      </w:r>
      <w:r w:rsidRPr="00462C0B">
        <w:rPr>
          <w:rFonts w:ascii="Times New Roman" w:hAnsi="Times New Roman" w:cs="Times New Roman"/>
          <w:i/>
          <w:iCs/>
          <w:color w:val="000000" w:themeColor="text1"/>
          <w:sz w:val="24"/>
          <w:szCs w:val="24"/>
        </w:rPr>
        <w:t>et al</w:t>
      </w:r>
      <w:r w:rsidR="0031327C" w:rsidRPr="00462C0B">
        <w:rPr>
          <w:rFonts w:ascii="Times New Roman" w:hAnsi="Times New Roman" w:cs="Times New Roman"/>
          <w:i/>
          <w:iCs/>
          <w:color w:val="000000" w:themeColor="text1"/>
          <w:sz w:val="24"/>
          <w:szCs w:val="24"/>
        </w:rPr>
        <w:t>.</w:t>
      </w:r>
      <w:r w:rsidRPr="00462C0B">
        <w:rPr>
          <w:rFonts w:ascii="Times New Roman" w:hAnsi="Times New Roman" w:cs="Times New Roman"/>
          <w:color w:val="000000" w:themeColor="text1"/>
          <w:sz w:val="24"/>
          <w:szCs w:val="24"/>
        </w:rPr>
        <w:t xml:space="preserve"> 2013</w:t>
      </w:r>
      <w:r w:rsidR="00D71406" w:rsidRPr="00462C0B">
        <w:rPr>
          <w:rFonts w:ascii="Times New Roman" w:hAnsi="Times New Roman" w:cs="Times New Roman"/>
          <w:color w:val="000000" w:themeColor="text1"/>
          <w:sz w:val="24"/>
          <w:szCs w:val="24"/>
        </w:rPr>
        <w:t>b</w:t>
      </w:r>
      <w:r w:rsidRPr="00462C0B">
        <w:rPr>
          <w:rFonts w:ascii="Times New Roman" w:hAnsi="Times New Roman" w:cs="Times New Roman"/>
          <w:color w:val="000000" w:themeColor="text1"/>
          <w:sz w:val="24"/>
          <w:szCs w:val="24"/>
        </w:rPr>
        <w:t xml:space="preserve">; </w:t>
      </w:r>
      <w:proofErr w:type="spellStart"/>
      <w:r w:rsidRPr="00462C0B">
        <w:rPr>
          <w:rFonts w:ascii="Times New Roman" w:hAnsi="Times New Roman" w:cs="Times New Roman"/>
          <w:color w:val="000000" w:themeColor="text1"/>
          <w:sz w:val="24"/>
          <w:szCs w:val="24"/>
        </w:rPr>
        <w:t>Vaissière</w:t>
      </w:r>
      <w:proofErr w:type="spellEnd"/>
      <w:r w:rsidRPr="00462C0B">
        <w:rPr>
          <w:rFonts w:ascii="Times New Roman" w:hAnsi="Times New Roman" w:cs="Times New Roman"/>
          <w:color w:val="000000" w:themeColor="text1"/>
          <w:sz w:val="24"/>
          <w:szCs w:val="24"/>
        </w:rPr>
        <w:t xml:space="preserve"> </w:t>
      </w:r>
      <w:r w:rsidRPr="00462C0B">
        <w:rPr>
          <w:rFonts w:ascii="Times New Roman" w:hAnsi="Times New Roman" w:cs="Times New Roman"/>
          <w:i/>
          <w:iCs/>
          <w:color w:val="000000" w:themeColor="text1"/>
          <w:sz w:val="24"/>
          <w:szCs w:val="24"/>
        </w:rPr>
        <w:t>et al</w:t>
      </w:r>
      <w:r w:rsidR="0031327C" w:rsidRPr="00462C0B">
        <w:rPr>
          <w:rFonts w:ascii="Times New Roman" w:hAnsi="Times New Roman" w:cs="Times New Roman"/>
          <w:color w:val="000000" w:themeColor="text1"/>
          <w:sz w:val="24"/>
          <w:szCs w:val="24"/>
        </w:rPr>
        <w:t>.</w:t>
      </w:r>
      <w:r w:rsidRPr="00462C0B">
        <w:rPr>
          <w:rFonts w:ascii="Times New Roman" w:hAnsi="Times New Roman" w:cs="Times New Roman"/>
          <w:color w:val="000000" w:themeColor="text1"/>
          <w:sz w:val="24"/>
          <w:szCs w:val="24"/>
        </w:rPr>
        <w:t xml:space="preserve"> 2017; Kangas and Ollikainen 2019). However, there appear to be no papers that formally analyse transaction cost data within biodiversity offset markets.</w:t>
      </w:r>
    </w:p>
    <w:p w14:paraId="492017C4" w14:textId="2B082C70" w:rsidR="00A660E9" w:rsidRPr="00462C0B" w:rsidRDefault="00333689" w:rsidP="008E7AD5">
      <w:pPr>
        <w:pStyle w:val="Heading2"/>
      </w:pPr>
      <w:r w:rsidRPr="00462C0B">
        <w:t xml:space="preserve">A lack of cost data </w:t>
      </w:r>
    </w:p>
    <w:p w14:paraId="2D0E2CC9" w14:textId="3E551D64" w:rsidR="004C3C89" w:rsidRPr="00462C0B" w:rsidRDefault="00955663" w:rsidP="004C3C89">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In defining the market for offsetting </w:t>
      </w:r>
      <w:r w:rsidR="000C6301" w:rsidRPr="00462C0B">
        <w:rPr>
          <w:rFonts w:ascii="Times New Roman" w:hAnsi="Times New Roman" w:cs="Times New Roman"/>
          <w:sz w:val="24"/>
          <w:szCs w:val="24"/>
        </w:rPr>
        <w:t>a</w:t>
      </w:r>
      <w:r w:rsidRPr="00462C0B">
        <w:rPr>
          <w:rFonts w:ascii="Times New Roman" w:hAnsi="Times New Roman" w:cs="Times New Roman"/>
          <w:sz w:val="24"/>
          <w:szCs w:val="24"/>
        </w:rPr>
        <w:t xml:space="preserve"> key question</w:t>
      </w:r>
      <w:r w:rsidR="000C6301" w:rsidRPr="00462C0B">
        <w:rPr>
          <w:rFonts w:ascii="Times New Roman" w:hAnsi="Times New Roman" w:cs="Times New Roman"/>
          <w:sz w:val="24"/>
          <w:szCs w:val="24"/>
        </w:rPr>
        <w:t xml:space="preserve"> is:</w:t>
      </w:r>
      <w:r w:rsidRPr="00462C0B">
        <w:rPr>
          <w:rFonts w:ascii="Times New Roman" w:hAnsi="Times New Roman" w:cs="Times New Roman"/>
          <w:sz w:val="24"/>
          <w:szCs w:val="24"/>
        </w:rPr>
        <w:t xml:space="preserve"> who </w:t>
      </w:r>
      <w:r w:rsidR="00BA6908" w:rsidRPr="00462C0B">
        <w:rPr>
          <w:rFonts w:ascii="Times New Roman" w:hAnsi="Times New Roman" w:cs="Times New Roman"/>
          <w:sz w:val="24"/>
          <w:szCs w:val="24"/>
        </w:rPr>
        <w:t xml:space="preserve">are </w:t>
      </w:r>
      <w:r w:rsidRPr="00462C0B">
        <w:rPr>
          <w:rFonts w:ascii="Times New Roman" w:hAnsi="Times New Roman" w:cs="Times New Roman"/>
          <w:sz w:val="24"/>
          <w:szCs w:val="24"/>
        </w:rPr>
        <w:t>the participants? The credit market depends on the rate of land</w:t>
      </w:r>
      <w:r w:rsidR="00BA6908" w:rsidRPr="00462C0B">
        <w:rPr>
          <w:rFonts w:ascii="Times New Roman" w:hAnsi="Times New Roman" w:cs="Times New Roman"/>
          <w:sz w:val="24"/>
          <w:szCs w:val="24"/>
        </w:rPr>
        <w:t>-</w:t>
      </w:r>
      <w:r w:rsidRPr="00462C0B">
        <w:rPr>
          <w:rFonts w:ascii="Times New Roman" w:hAnsi="Times New Roman" w:cs="Times New Roman"/>
          <w:sz w:val="24"/>
          <w:szCs w:val="24"/>
        </w:rPr>
        <w:t xml:space="preserve">use change caused by development and the difference in opportunity costs of conservation for land patches (van </w:t>
      </w:r>
      <w:proofErr w:type="spellStart"/>
      <w:r w:rsidRPr="00462C0B">
        <w:rPr>
          <w:rFonts w:ascii="Times New Roman" w:hAnsi="Times New Roman" w:cs="Times New Roman"/>
          <w:sz w:val="24"/>
          <w:szCs w:val="24"/>
        </w:rPr>
        <w:t>Teeffelen</w:t>
      </w:r>
      <w:proofErr w:type="spellEnd"/>
      <w:r w:rsidRPr="00462C0B">
        <w:rPr>
          <w:rFonts w:ascii="Times New Roman" w:hAnsi="Times New Roman" w:cs="Times New Roman"/>
          <w:sz w:val="24"/>
          <w:szCs w:val="24"/>
        </w:rPr>
        <w:t xml:space="preserve"> </w:t>
      </w:r>
      <w:r w:rsidRPr="00462C0B">
        <w:rPr>
          <w:rFonts w:ascii="Times New Roman" w:hAnsi="Times New Roman" w:cs="Times New Roman"/>
          <w:i/>
          <w:iCs/>
          <w:sz w:val="24"/>
          <w:szCs w:val="24"/>
        </w:rPr>
        <w:t>et al</w:t>
      </w:r>
      <w:r w:rsidR="00553F8A" w:rsidRPr="00462C0B">
        <w:rPr>
          <w:rFonts w:ascii="Times New Roman" w:hAnsi="Times New Roman" w:cs="Times New Roman"/>
          <w:i/>
          <w:iCs/>
          <w:sz w:val="24"/>
          <w:szCs w:val="24"/>
        </w:rPr>
        <w:t>.</w:t>
      </w:r>
      <w:r w:rsidRPr="00462C0B">
        <w:rPr>
          <w:rFonts w:ascii="Times New Roman" w:hAnsi="Times New Roman" w:cs="Times New Roman"/>
          <w:sz w:val="24"/>
          <w:szCs w:val="24"/>
        </w:rPr>
        <w:t xml:space="preserve"> 2014). The potential </w:t>
      </w:r>
      <w:r w:rsidRPr="00462C0B">
        <w:rPr>
          <w:rFonts w:ascii="Times New Roman" w:hAnsi="Times New Roman" w:cs="Times New Roman"/>
          <w:sz w:val="24"/>
          <w:szCs w:val="24"/>
        </w:rPr>
        <w:lastRenderedPageBreak/>
        <w:t xml:space="preserve">players are local landowners who will provide land for offset schemes; developers looking to purchase land for development </w:t>
      </w:r>
      <w:proofErr w:type="gramStart"/>
      <w:r w:rsidRPr="00462C0B">
        <w:rPr>
          <w:rFonts w:ascii="Times New Roman" w:hAnsi="Times New Roman" w:cs="Times New Roman"/>
          <w:sz w:val="24"/>
          <w:szCs w:val="24"/>
        </w:rPr>
        <w:t>and also</w:t>
      </w:r>
      <w:proofErr w:type="gramEnd"/>
      <w:r w:rsidRPr="00462C0B">
        <w:rPr>
          <w:rFonts w:ascii="Times New Roman" w:hAnsi="Times New Roman" w:cs="Times New Roman"/>
          <w:sz w:val="24"/>
          <w:szCs w:val="24"/>
        </w:rPr>
        <w:t xml:space="preserve"> offset their impacts on biodiversity</w:t>
      </w:r>
      <w:r w:rsidR="005333FF" w:rsidRPr="00462C0B">
        <w:rPr>
          <w:rFonts w:ascii="Times New Roman" w:hAnsi="Times New Roman" w:cs="Times New Roman"/>
          <w:sz w:val="24"/>
          <w:szCs w:val="24"/>
        </w:rPr>
        <w:t>;</w:t>
      </w:r>
      <w:r w:rsidRPr="00462C0B">
        <w:rPr>
          <w:rFonts w:ascii="Times New Roman" w:hAnsi="Times New Roman" w:cs="Times New Roman"/>
          <w:sz w:val="24"/>
          <w:szCs w:val="24"/>
        </w:rPr>
        <w:t xml:space="preserve"> and environmental NGOs and charities who may also wish to buy offsets to limit land for development and secure conservation gains. </w:t>
      </w:r>
      <w:r w:rsidR="000516E7" w:rsidRPr="00462C0B">
        <w:rPr>
          <w:rFonts w:ascii="Times New Roman" w:hAnsi="Times New Roman" w:cs="Times New Roman"/>
          <w:sz w:val="24"/>
          <w:szCs w:val="24"/>
        </w:rPr>
        <w:t xml:space="preserve">In many situations, </w:t>
      </w:r>
      <w:r w:rsidR="005333FF" w:rsidRPr="00462C0B">
        <w:rPr>
          <w:rFonts w:ascii="Times New Roman" w:hAnsi="Times New Roman" w:cs="Times New Roman"/>
          <w:sz w:val="24"/>
          <w:szCs w:val="24"/>
        </w:rPr>
        <w:t xml:space="preserve">offset supply </w:t>
      </w:r>
      <w:r w:rsidR="000516E7" w:rsidRPr="00462C0B">
        <w:rPr>
          <w:rFonts w:ascii="Times New Roman" w:hAnsi="Times New Roman" w:cs="Times New Roman"/>
          <w:sz w:val="24"/>
          <w:szCs w:val="24"/>
        </w:rPr>
        <w:t>measures are likely to be undertaken on agricultural land</w:t>
      </w:r>
      <w:r w:rsidR="00130D95" w:rsidRPr="00462C0B">
        <w:rPr>
          <w:rFonts w:ascii="Times New Roman" w:hAnsi="Times New Roman" w:cs="Times New Roman"/>
          <w:sz w:val="24"/>
          <w:szCs w:val="24"/>
        </w:rPr>
        <w:t xml:space="preserve">, with a loss in agricultural income. </w:t>
      </w:r>
      <w:r w:rsidR="004C3C89" w:rsidRPr="00462C0B">
        <w:rPr>
          <w:rFonts w:ascii="Times New Roman" w:hAnsi="Times New Roman" w:cs="Times New Roman"/>
          <w:sz w:val="24"/>
          <w:szCs w:val="24"/>
        </w:rPr>
        <w:t xml:space="preserve"> </w:t>
      </w:r>
    </w:p>
    <w:p w14:paraId="387C14A8" w14:textId="3BE4B861" w:rsidR="006E71B6" w:rsidRDefault="00284791" w:rsidP="00C551FD">
      <w:pPr>
        <w:spacing w:line="360" w:lineRule="auto"/>
        <w:rPr>
          <w:rFonts w:ascii="Times New Roman" w:hAnsi="Times New Roman" w:cs="Times New Roman"/>
          <w:sz w:val="24"/>
          <w:szCs w:val="24"/>
        </w:rPr>
      </w:pPr>
      <w:r w:rsidRPr="00462C0B">
        <w:rPr>
          <w:rFonts w:ascii="Times New Roman" w:hAnsi="Times New Roman" w:cs="Times New Roman"/>
          <w:sz w:val="24"/>
          <w:szCs w:val="24"/>
        </w:rPr>
        <w:t xml:space="preserve">In undertaking this literature review, </w:t>
      </w:r>
      <w:r w:rsidR="00670017" w:rsidRPr="00462C0B">
        <w:rPr>
          <w:rFonts w:ascii="Times New Roman" w:hAnsi="Times New Roman" w:cs="Times New Roman"/>
          <w:sz w:val="24"/>
          <w:szCs w:val="24"/>
        </w:rPr>
        <w:t xml:space="preserve">we discovered </w:t>
      </w:r>
      <w:r w:rsidRPr="00462C0B">
        <w:rPr>
          <w:rFonts w:ascii="Times New Roman" w:hAnsi="Times New Roman" w:cs="Times New Roman"/>
          <w:sz w:val="24"/>
          <w:szCs w:val="24"/>
        </w:rPr>
        <w:t>a lack of research focussed on incentives for landowners to participate in such schemes.</w:t>
      </w:r>
      <w:r w:rsidR="00EA537F" w:rsidRPr="00462C0B">
        <w:rPr>
          <w:rFonts w:ascii="Times New Roman" w:hAnsi="Times New Roman" w:cs="Times New Roman"/>
          <w:sz w:val="24"/>
          <w:szCs w:val="24"/>
        </w:rPr>
        <w:t xml:space="preserve"> One notable research paper focussed on </w:t>
      </w:r>
      <w:r w:rsidR="00B1736A" w:rsidRPr="00462C0B">
        <w:rPr>
          <w:rFonts w:ascii="Times New Roman" w:hAnsi="Times New Roman" w:cs="Times New Roman"/>
          <w:sz w:val="24"/>
          <w:szCs w:val="24"/>
        </w:rPr>
        <w:t>farmers</w:t>
      </w:r>
      <w:r w:rsidR="00BA6908" w:rsidRPr="00462C0B">
        <w:rPr>
          <w:rFonts w:ascii="Times New Roman" w:hAnsi="Times New Roman" w:cs="Times New Roman"/>
          <w:sz w:val="24"/>
          <w:szCs w:val="24"/>
        </w:rPr>
        <w:t>'</w:t>
      </w:r>
      <w:r w:rsidR="00B1736A" w:rsidRPr="00462C0B">
        <w:rPr>
          <w:rFonts w:ascii="Times New Roman" w:hAnsi="Times New Roman" w:cs="Times New Roman"/>
          <w:sz w:val="24"/>
          <w:szCs w:val="24"/>
        </w:rPr>
        <w:t xml:space="preserve"> preferences for </w:t>
      </w:r>
      <w:r w:rsidR="00BA6908" w:rsidRPr="00462C0B">
        <w:rPr>
          <w:rFonts w:ascii="Times New Roman" w:hAnsi="Times New Roman" w:cs="Times New Roman"/>
          <w:sz w:val="24"/>
          <w:szCs w:val="24"/>
        </w:rPr>
        <w:t>implementing</w:t>
      </w:r>
      <w:r w:rsidR="00B1736A" w:rsidRPr="00462C0B">
        <w:rPr>
          <w:rFonts w:ascii="Times New Roman" w:hAnsi="Times New Roman" w:cs="Times New Roman"/>
          <w:sz w:val="24"/>
          <w:szCs w:val="24"/>
        </w:rPr>
        <w:t xml:space="preserve"> compensation measures and how acceptance could be improved in Germany (</w:t>
      </w:r>
      <w:proofErr w:type="spellStart"/>
      <w:r w:rsidR="00B1736A" w:rsidRPr="00462C0B">
        <w:rPr>
          <w:rFonts w:ascii="Times New Roman" w:hAnsi="Times New Roman" w:cs="Times New Roman"/>
          <w:sz w:val="24"/>
          <w:szCs w:val="24"/>
        </w:rPr>
        <w:t>Spon</w:t>
      </w:r>
      <w:r w:rsidR="001B0D9D" w:rsidRPr="00462C0B">
        <w:rPr>
          <w:rFonts w:ascii="Times New Roman" w:hAnsi="Times New Roman" w:cs="Times New Roman"/>
          <w:sz w:val="24"/>
          <w:szCs w:val="24"/>
        </w:rPr>
        <w:t>agel</w:t>
      </w:r>
      <w:proofErr w:type="spellEnd"/>
      <w:r w:rsidR="001B0D9D" w:rsidRPr="00462C0B">
        <w:rPr>
          <w:rFonts w:ascii="Times New Roman" w:hAnsi="Times New Roman" w:cs="Times New Roman"/>
          <w:sz w:val="24"/>
          <w:szCs w:val="24"/>
        </w:rPr>
        <w:t xml:space="preserve"> </w:t>
      </w:r>
      <w:r w:rsidR="001B0D9D" w:rsidRPr="00462C0B">
        <w:rPr>
          <w:rFonts w:ascii="Times New Roman" w:hAnsi="Times New Roman" w:cs="Times New Roman"/>
          <w:i/>
          <w:iCs/>
          <w:sz w:val="24"/>
          <w:szCs w:val="24"/>
        </w:rPr>
        <w:t>et al</w:t>
      </w:r>
      <w:r w:rsidR="00273438" w:rsidRPr="00462C0B">
        <w:rPr>
          <w:rFonts w:ascii="Times New Roman" w:hAnsi="Times New Roman" w:cs="Times New Roman"/>
          <w:i/>
          <w:iCs/>
          <w:sz w:val="24"/>
          <w:szCs w:val="24"/>
        </w:rPr>
        <w:t>.</w:t>
      </w:r>
      <w:r w:rsidR="001B0D9D" w:rsidRPr="00462C0B">
        <w:rPr>
          <w:rFonts w:ascii="Times New Roman" w:hAnsi="Times New Roman" w:cs="Times New Roman"/>
          <w:sz w:val="24"/>
          <w:szCs w:val="24"/>
        </w:rPr>
        <w:t xml:space="preserve"> 2021). Using a discrete choice experiment, 209 farmers were surveyed to </w:t>
      </w:r>
      <w:r w:rsidR="008745D1" w:rsidRPr="00462C0B">
        <w:rPr>
          <w:rFonts w:ascii="Times New Roman" w:hAnsi="Times New Roman" w:cs="Times New Roman"/>
          <w:sz w:val="24"/>
          <w:szCs w:val="24"/>
        </w:rPr>
        <w:t xml:space="preserve">establish their preferences on </w:t>
      </w:r>
      <w:r w:rsidR="00BA6908" w:rsidRPr="00462C0B">
        <w:rPr>
          <w:rFonts w:ascii="Times New Roman" w:hAnsi="Times New Roman" w:cs="Times New Roman"/>
          <w:sz w:val="24"/>
          <w:szCs w:val="24"/>
        </w:rPr>
        <w:t xml:space="preserve">the </w:t>
      </w:r>
      <w:r w:rsidR="008745D1" w:rsidRPr="00462C0B">
        <w:rPr>
          <w:rFonts w:ascii="Times New Roman" w:hAnsi="Times New Roman" w:cs="Times New Roman"/>
          <w:sz w:val="24"/>
          <w:szCs w:val="24"/>
        </w:rPr>
        <w:t>protection of land in perpetuity, the ma</w:t>
      </w:r>
      <w:r w:rsidR="009978E1" w:rsidRPr="00462C0B">
        <w:rPr>
          <w:rFonts w:ascii="Times New Roman" w:hAnsi="Times New Roman" w:cs="Times New Roman"/>
          <w:sz w:val="24"/>
          <w:szCs w:val="24"/>
        </w:rPr>
        <w:t>intenance</w:t>
      </w:r>
      <w:r w:rsidR="008745D1" w:rsidRPr="00462C0B">
        <w:rPr>
          <w:rFonts w:ascii="Times New Roman" w:hAnsi="Times New Roman" w:cs="Times New Roman"/>
          <w:sz w:val="24"/>
          <w:szCs w:val="24"/>
        </w:rPr>
        <w:t xml:space="preserve"> period for compensatory measures</w:t>
      </w:r>
      <w:r w:rsidR="00670017" w:rsidRPr="00462C0B">
        <w:rPr>
          <w:rFonts w:ascii="Times New Roman" w:hAnsi="Times New Roman" w:cs="Times New Roman"/>
          <w:sz w:val="24"/>
          <w:szCs w:val="24"/>
        </w:rPr>
        <w:t>,</w:t>
      </w:r>
      <w:r w:rsidR="008745D1" w:rsidRPr="00462C0B">
        <w:rPr>
          <w:rFonts w:ascii="Times New Roman" w:hAnsi="Times New Roman" w:cs="Times New Roman"/>
          <w:sz w:val="24"/>
          <w:szCs w:val="24"/>
        </w:rPr>
        <w:t xml:space="preserve"> and the type of compensation</w:t>
      </w:r>
      <w:r w:rsidR="00670017" w:rsidRPr="00462C0B">
        <w:rPr>
          <w:rFonts w:ascii="Times New Roman" w:hAnsi="Times New Roman" w:cs="Times New Roman"/>
          <w:sz w:val="24"/>
          <w:szCs w:val="24"/>
        </w:rPr>
        <w:t xml:space="preserve"> offered</w:t>
      </w:r>
      <w:r w:rsidR="008745D1" w:rsidRPr="00462C0B">
        <w:rPr>
          <w:rFonts w:ascii="Times New Roman" w:hAnsi="Times New Roman" w:cs="Times New Roman"/>
          <w:sz w:val="24"/>
          <w:szCs w:val="24"/>
        </w:rPr>
        <w:t xml:space="preserve">. </w:t>
      </w:r>
      <w:r w:rsidR="006E71B6" w:rsidRPr="00462C0B">
        <w:rPr>
          <w:rFonts w:ascii="Times New Roman" w:hAnsi="Times New Roman" w:cs="Times New Roman"/>
          <w:sz w:val="24"/>
          <w:szCs w:val="24"/>
        </w:rPr>
        <w:t xml:space="preserve">The results showed that the type of compensation measure and the </w:t>
      </w:r>
      <w:r w:rsidR="003A4FE8" w:rsidRPr="00462C0B">
        <w:rPr>
          <w:rFonts w:ascii="Times New Roman" w:hAnsi="Times New Roman" w:cs="Times New Roman"/>
          <w:sz w:val="24"/>
          <w:szCs w:val="24"/>
        </w:rPr>
        <w:t xml:space="preserve">monetary value received were both critical in farmer acceptance: </w:t>
      </w:r>
      <w:r w:rsidR="009B4B24" w:rsidRPr="00462C0B">
        <w:rPr>
          <w:rFonts w:ascii="Times New Roman" w:hAnsi="Times New Roman" w:cs="Times New Roman"/>
          <w:sz w:val="24"/>
          <w:szCs w:val="24"/>
        </w:rPr>
        <w:t xml:space="preserve">the complete conversion of arable land to grassland was the least accepted measure, with farmers </w:t>
      </w:r>
      <w:r w:rsidR="00006E8C" w:rsidRPr="00462C0B">
        <w:rPr>
          <w:rFonts w:ascii="Times New Roman" w:hAnsi="Times New Roman" w:cs="Times New Roman"/>
          <w:sz w:val="24"/>
          <w:szCs w:val="24"/>
        </w:rPr>
        <w:t xml:space="preserve">preferring a compensatory action that would still allow them to undertake cropping on some areas of the farm. </w:t>
      </w:r>
      <w:r w:rsidR="00C214DA" w:rsidRPr="00462C0B">
        <w:rPr>
          <w:rFonts w:ascii="Times New Roman" w:hAnsi="Times New Roman" w:cs="Times New Roman"/>
          <w:sz w:val="24"/>
          <w:szCs w:val="24"/>
        </w:rPr>
        <w:t xml:space="preserve">Farmers were also not in favour of </w:t>
      </w:r>
      <w:r w:rsidR="00947727" w:rsidRPr="00462C0B">
        <w:rPr>
          <w:rFonts w:ascii="Times New Roman" w:hAnsi="Times New Roman" w:cs="Times New Roman"/>
          <w:sz w:val="24"/>
          <w:szCs w:val="24"/>
        </w:rPr>
        <w:t xml:space="preserve">protecting their land in perpetuity (a view we know is shared by farmers in other European countries) </w:t>
      </w:r>
      <w:r w:rsidR="002031E8" w:rsidRPr="00462C0B">
        <w:rPr>
          <w:rFonts w:ascii="Times New Roman" w:hAnsi="Times New Roman" w:cs="Times New Roman"/>
          <w:sz w:val="24"/>
          <w:szCs w:val="24"/>
        </w:rPr>
        <w:t>and instead opt</w:t>
      </w:r>
      <w:r w:rsidR="00554558" w:rsidRPr="00462C0B">
        <w:rPr>
          <w:rFonts w:ascii="Times New Roman" w:hAnsi="Times New Roman" w:cs="Times New Roman"/>
          <w:sz w:val="24"/>
          <w:szCs w:val="24"/>
        </w:rPr>
        <w:t>ed</w:t>
      </w:r>
      <w:r w:rsidR="002031E8" w:rsidRPr="00462C0B">
        <w:rPr>
          <w:rFonts w:ascii="Times New Roman" w:hAnsi="Times New Roman" w:cs="Times New Roman"/>
          <w:sz w:val="24"/>
          <w:szCs w:val="24"/>
        </w:rPr>
        <w:t xml:space="preserve"> for a maint</w:t>
      </w:r>
      <w:r w:rsidR="00554558" w:rsidRPr="00462C0B">
        <w:rPr>
          <w:rFonts w:ascii="Times New Roman" w:hAnsi="Times New Roman" w:cs="Times New Roman"/>
          <w:sz w:val="24"/>
          <w:szCs w:val="24"/>
        </w:rPr>
        <w:t>e</w:t>
      </w:r>
      <w:r w:rsidR="002031E8" w:rsidRPr="00462C0B">
        <w:rPr>
          <w:rFonts w:ascii="Times New Roman" w:hAnsi="Times New Roman" w:cs="Times New Roman"/>
          <w:sz w:val="24"/>
          <w:szCs w:val="24"/>
        </w:rPr>
        <w:t xml:space="preserve">nance period of 25 years. </w:t>
      </w:r>
    </w:p>
    <w:p w14:paraId="4AF002B8" w14:textId="5950866F" w:rsidR="004C3E17" w:rsidRPr="00462C0B" w:rsidRDefault="00FB2AFD" w:rsidP="00FB2AFD">
      <w:pPr>
        <w:spacing w:line="360" w:lineRule="auto"/>
        <w:rPr>
          <w:rFonts w:ascii="Times New Roman" w:hAnsi="Times New Roman" w:cs="Times New Roman"/>
          <w:sz w:val="24"/>
          <w:szCs w:val="24"/>
        </w:rPr>
      </w:pPr>
      <w:proofErr w:type="spellStart"/>
      <w:r w:rsidRPr="00FB2AFD">
        <w:rPr>
          <w:rFonts w:ascii="Times New Roman" w:hAnsi="Times New Roman" w:cs="Times New Roman"/>
          <w:sz w:val="24"/>
          <w:szCs w:val="24"/>
        </w:rPr>
        <w:t>Ruoso</w:t>
      </w:r>
      <w:proofErr w:type="spellEnd"/>
      <w:r w:rsidRPr="00FB2AFD">
        <w:rPr>
          <w:rFonts w:ascii="Times New Roman" w:hAnsi="Times New Roman" w:cs="Times New Roman"/>
          <w:sz w:val="24"/>
          <w:szCs w:val="24"/>
        </w:rPr>
        <w:t xml:space="preserve"> and Plant (2021) undertook stakeholder interviews with landowners who were currently participating in the new Biodiversity Offsets Scheme or had previously participated in </w:t>
      </w:r>
      <w:proofErr w:type="spellStart"/>
      <w:r w:rsidRPr="00FB2AFD">
        <w:rPr>
          <w:rFonts w:ascii="Times New Roman" w:hAnsi="Times New Roman" w:cs="Times New Roman"/>
          <w:sz w:val="24"/>
          <w:szCs w:val="24"/>
        </w:rPr>
        <w:t>BioBanking</w:t>
      </w:r>
      <w:proofErr w:type="spellEnd"/>
      <w:r w:rsidRPr="00FB2AFD">
        <w:rPr>
          <w:rFonts w:ascii="Times New Roman" w:hAnsi="Times New Roman" w:cs="Times New Roman"/>
          <w:sz w:val="24"/>
          <w:szCs w:val="24"/>
        </w:rPr>
        <w:t xml:space="preserve"> to understand their motivations for taking part in the scheme. The new scheme was likely to be most favoured by public landholders due to changes in the financial nature of the scheme. The new scheme has two parts: </w:t>
      </w:r>
      <w:proofErr w:type="spellStart"/>
      <w:r w:rsidRPr="00FB2AFD">
        <w:rPr>
          <w:rFonts w:ascii="Times New Roman" w:hAnsi="Times New Roman" w:cs="Times New Roman"/>
          <w:sz w:val="24"/>
          <w:szCs w:val="24"/>
        </w:rPr>
        <w:t>i</w:t>
      </w:r>
      <w:proofErr w:type="spellEnd"/>
      <w:r w:rsidRPr="00FB2AFD">
        <w:rPr>
          <w:rFonts w:ascii="Times New Roman" w:hAnsi="Times New Roman" w:cs="Times New Roman"/>
          <w:sz w:val="24"/>
          <w:szCs w:val="24"/>
        </w:rPr>
        <w:t>) landowners receive a payment in perpetuity to improve the state of biodiversity on their land and ii) receive a one of lump sum for the credit payment reflecting the opportunity cost from creating an offset site in perpetuity. Due to the decline in credits generated under the new methodology, private landowners were now making less profit and were less likely to choose to participate in the new scheme. In contrast, public landowners (such as councils) were mostly seeking funding to cover management costs rather than make a profit (</w:t>
      </w:r>
      <w:proofErr w:type="spellStart"/>
      <w:r w:rsidRPr="00FB2AFD">
        <w:rPr>
          <w:rFonts w:ascii="Times New Roman" w:hAnsi="Times New Roman" w:cs="Times New Roman"/>
          <w:sz w:val="24"/>
          <w:szCs w:val="24"/>
        </w:rPr>
        <w:t>Ruoso</w:t>
      </w:r>
      <w:proofErr w:type="spellEnd"/>
      <w:r w:rsidRPr="00FB2AFD">
        <w:rPr>
          <w:rFonts w:ascii="Times New Roman" w:hAnsi="Times New Roman" w:cs="Times New Roman"/>
          <w:sz w:val="24"/>
          <w:szCs w:val="24"/>
        </w:rPr>
        <w:t xml:space="preserve"> and Plant 2021). In addition, Ruso and Plant (2021) found that landholders with more experience, resources and access to support through formal and informal networks were more likely to participate. They found that small rural landowners were less likely to participate, partly due to the lack of access to these support networks.</w:t>
      </w:r>
    </w:p>
    <w:p w14:paraId="40B998CF" w14:textId="0E746F8A" w:rsidR="001A017A" w:rsidRPr="00462C0B" w:rsidRDefault="00F27160" w:rsidP="00C551FD">
      <w:pPr>
        <w:spacing w:line="360" w:lineRule="auto"/>
        <w:rPr>
          <w:rFonts w:ascii="Times New Roman" w:hAnsi="Times New Roman" w:cs="Times New Roman"/>
          <w:color w:val="000000" w:themeColor="text1"/>
          <w:sz w:val="24"/>
          <w:szCs w:val="24"/>
        </w:rPr>
      </w:pPr>
      <w:r w:rsidRPr="00462C0B">
        <w:rPr>
          <w:rFonts w:ascii="Times New Roman" w:hAnsi="Times New Roman" w:cs="Times New Roman"/>
          <w:sz w:val="24"/>
          <w:szCs w:val="24"/>
        </w:rPr>
        <w:lastRenderedPageBreak/>
        <w:t>A</w:t>
      </w:r>
      <w:r w:rsidR="00C14324" w:rsidRPr="00462C0B">
        <w:rPr>
          <w:rFonts w:ascii="Times New Roman" w:hAnsi="Times New Roman" w:cs="Times New Roman"/>
          <w:sz w:val="24"/>
          <w:szCs w:val="24"/>
        </w:rPr>
        <w:t xml:space="preserve"> barrier to the development of </w:t>
      </w:r>
      <w:r w:rsidR="004618DD" w:rsidRPr="00462C0B">
        <w:rPr>
          <w:rFonts w:ascii="Times New Roman" w:hAnsi="Times New Roman" w:cs="Times New Roman"/>
          <w:sz w:val="24"/>
          <w:szCs w:val="24"/>
        </w:rPr>
        <w:t xml:space="preserve">biodiversity offset markets </w:t>
      </w:r>
      <w:r w:rsidR="00C14324" w:rsidRPr="00462C0B">
        <w:rPr>
          <w:rFonts w:ascii="Times New Roman" w:hAnsi="Times New Roman" w:cs="Times New Roman"/>
          <w:sz w:val="24"/>
          <w:szCs w:val="24"/>
        </w:rPr>
        <w:t>in England has been a shortage of offset sites from which to purchase biodiversity offset credits, as confirmed in D</w:t>
      </w:r>
      <w:r w:rsidR="008D15FA">
        <w:rPr>
          <w:rFonts w:ascii="Times New Roman" w:hAnsi="Times New Roman" w:cs="Times New Roman"/>
          <w:sz w:val="24"/>
          <w:szCs w:val="24"/>
        </w:rPr>
        <w:t>efra’s</w:t>
      </w:r>
      <w:r w:rsidR="00C14324" w:rsidRPr="00462C0B">
        <w:rPr>
          <w:rFonts w:ascii="Times New Roman" w:hAnsi="Times New Roman" w:cs="Times New Roman"/>
          <w:sz w:val="24"/>
          <w:szCs w:val="24"/>
        </w:rPr>
        <w:t xml:space="preserve"> pilot evaluation report (Baker </w:t>
      </w:r>
      <w:r w:rsidR="00C14324" w:rsidRPr="00462C0B">
        <w:rPr>
          <w:rFonts w:ascii="Times New Roman" w:hAnsi="Times New Roman" w:cs="Times New Roman"/>
          <w:i/>
          <w:iCs/>
          <w:sz w:val="24"/>
          <w:szCs w:val="24"/>
        </w:rPr>
        <w:t>et al</w:t>
      </w:r>
      <w:r w:rsidR="00554558" w:rsidRPr="00462C0B">
        <w:rPr>
          <w:rFonts w:ascii="Times New Roman" w:hAnsi="Times New Roman" w:cs="Times New Roman"/>
          <w:i/>
          <w:iCs/>
          <w:sz w:val="24"/>
          <w:szCs w:val="24"/>
        </w:rPr>
        <w:t>.</w:t>
      </w:r>
      <w:r w:rsidR="00C14324" w:rsidRPr="00462C0B">
        <w:rPr>
          <w:rFonts w:ascii="Times New Roman" w:hAnsi="Times New Roman" w:cs="Times New Roman"/>
          <w:sz w:val="24"/>
          <w:szCs w:val="24"/>
        </w:rPr>
        <w:t xml:space="preserve"> 2014).</w:t>
      </w:r>
      <w:r w:rsidR="004E4F0D" w:rsidRPr="00462C0B">
        <w:rPr>
          <w:rFonts w:ascii="Times New Roman" w:hAnsi="Times New Roman" w:cs="Times New Roman"/>
          <w:sz w:val="24"/>
          <w:szCs w:val="24"/>
        </w:rPr>
        <w:t xml:space="preserve"> </w:t>
      </w:r>
      <w:r w:rsidR="00C262D9" w:rsidRPr="00462C0B">
        <w:rPr>
          <w:rFonts w:ascii="Times New Roman" w:hAnsi="Times New Roman" w:cs="Times New Roman"/>
          <w:sz w:val="24"/>
          <w:szCs w:val="24"/>
        </w:rPr>
        <w:t xml:space="preserve">Analysis of written submissions to </w:t>
      </w:r>
      <w:r w:rsidR="00FC6AE7" w:rsidRPr="00462C0B">
        <w:rPr>
          <w:rFonts w:ascii="Times New Roman" w:hAnsi="Times New Roman" w:cs="Times New Roman"/>
          <w:sz w:val="24"/>
          <w:szCs w:val="24"/>
        </w:rPr>
        <w:t>the UK Parliament</w:t>
      </w:r>
      <w:r w:rsidR="00FC6AE7" w:rsidRPr="00462C0B">
        <w:rPr>
          <w:rFonts w:ascii="Times New Roman" w:hAnsi="Times New Roman" w:cs="Times New Roman"/>
          <w:sz w:val="24"/>
          <w:szCs w:val="24"/>
          <w:rtl/>
          <w:lang w:bidi="he-IL"/>
        </w:rPr>
        <w:t>׳</w:t>
      </w:r>
      <w:r w:rsidR="00FC6AE7" w:rsidRPr="00462C0B">
        <w:rPr>
          <w:rFonts w:ascii="Times New Roman" w:hAnsi="Times New Roman" w:cs="Times New Roman"/>
          <w:sz w:val="24"/>
          <w:szCs w:val="24"/>
        </w:rPr>
        <w:t>s Environmental Audit Committee</w:t>
      </w:r>
      <w:r w:rsidR="00FC6AE7" w:rsidRPr="00462C0B">
        <w:rPr>
          <w:rFonts w:ascii="Times New Roman" w:hAnsi="Times New Roman" w:cs="Times New Roman"/>
          <w:sz w:val="24"/>
          <w:szCs w:val="24"/>
          <w:rtl/>
          <w:lang w:bidi="he-IL"/>
        </w:rPr>
        <w:t>׳</w:t>
      </w:r>
      <w:r w:rsidR="00FC6AE7" w:rsidRPr="00462C0B">
        <w:rPr>
          <w:rFonts w:ascii="Times New Roman" w:hAnsi="Times New Roman" w:cs="Times New Roman"/>
          <w:sz w:val="24"/>
          <w:szCs w:val="24"/>
        </w:rPr>
        <w:t>s 2013 Inquiry into Biodiversity Offsetting in England</w:t>
      </w:r>
      <w:r w:rsidR="003F3DA9" w:rsidRPr="00462C0B">
        <w:rPr>
          <w:rFonts w:ascii="Times New Roman" w:hAnsi="Times New Roman" w:cs="Times New Roman"/>
          <w:sz w:val="24"/>
          <w:szCs w:val="24"/>
        </w:rPr>
        <w:t xml:space="preserve"> highlights those bodies representing agricultural landowners </w:t>
      </w:r>
      <w:r w:rsidR="00971D5D" w:rsidRPr="00462C0B">
        <w:rPr>
          <w:rFonts w:ascii="Times New Roman" w:hAnsi="Times New Roman" w:cs="Times New Roman"/>
          <w:sz w:val="24"/>
          <w:szCs w:val="24"/>
        </w:rPr>
        <w:t>require offset credits to be price</w:t>
      </w:r>
      <w:r w:rsidR="00554558" w:rsidRPr="00462C0B">
        <w:rPr>
          <w:rFonts w:ascii="Times New Roman" w:hAnsi="Times New Roman" w:cs="Times New Roman"/>
          <w:sz w:val="24"/>
          <w:szCs w:val="24"/>
        </w:rPr>
        <w:t>d</w:t>
      </w:r>
      <w:r w:rsidR="00971D5D" w:rsidRPr="00462C0B">
        <w:rPr>
          <w:rFonts w:ascii="Times New Roman" w:hAnsi="Times New Roman" w:cs="Times New Roman"/>
          <w:sz w:val="24"/>
          <w:szCs w:val="24"/>
        </w:rPr>
        <w:t xml:space="preserve"> higher than simply income forgone, </w:t>
      </w:r>
      <w:r w:rsidR="00081A85" w:rsidRPr="00462C0B">
        <w:rPr>
          <w:rFonts w:ascii="Times New Roman" w:hAnsi="Times New Roman" w:cs="Times New Roman"/>
          <w:sz w:val="24"/>
          <w:szCs w:val="24"/>
        </w:rPr>
        <w:t xml:space="preserve">allowing </w:t>
      </w:r>
      <w:r w:rsidR="00971D5D" w:rsidRPr="00462C0B">
        <w:rPr>
          <w:rFonts w:ascii="Times New Roman" w:hAnsi="Times New Roman" w:cs="Times New Roman"/>
          <w:sz w:val="24"/>
          <w:szCs w:val="24"/>
        </w:rPr>
        <w:t xml:space="preserve">offset providers </w:t>
      </w:r>
      <w:r w:rsidR="00081A85" w:rsidRPr="00462C0B">
        <w:rPr>
          <w:rFonts w:ascii="Times New Roman" w:hAnsi="Times New Roman" w:cs="Times New Roman"/>
          <w:sz w:val="24"/>
          <w:szCs w:val="24"/>
        </w:rPr>
        <w:t xml:space="preserve">to </w:t>
      </w:r>
      <w:r w:rsidR="00971D5D" w:rsidRPr="00462C0B">
        <w:rPr>
          <w:rFonts w:ascii="Times New Roman" w:hAnsi="Times New Roman" w:cs="Times New Roman"/>
          <w:sz w:val="24"/>
          <w:szCs w:val="24"/>
        </w:rPr>
        <w:t xml:space="preserve">profit financially from their participation in the market (Sullivan and Hannis 2015). </w:t>
      </w:r>
      <w:r w:rsidR="00C774CF" w:rsidRPr="00462C0B">
        <w:rPr>
          <w:rFonts w:ascii="Times New Roman" w:hAnsi="Times New Roman" w:cs="Times New Roman"/>
          <w:sz w:val="24"/>
          <w:szCs w:val="24"/>
        </w:rPr>
        <w:t>However, t</w:t>
      </w:r>
      <w:r w:rsidR="00D6673B" w:rsidRPr="00462C0B">
        <w:rPr>
          <w:rFonts w:ascii="Times New Roman" w:hAnsi="Times New Roman" w:cs="Times New Roman"/>
          <w:color w:val="000000" w:themeColor="text1"/>
          <w:sz w:val="24"/>
          <w:szCs w:val="24"/>
        </w:rPr>
        <w:t xml:space="preserve">here is a lack of available data on restoration costs, transaction costs and land prices for offset implementation in Europe (Simpson </w:t>
      </w:r>
      <w:r w:rsidR="00D6673B" w:rsidRPr="00462C0B">
        <w:rPr>
          <w:rFonts w:ascii="Times New Roman" w:hAnsi="Times New Roman" w:cs="Times New Roman"/>
          <w:i/>
          <w:iCs/>
          <w:color w:val="000000" w:themeColor="text1"/>
          <w:sz w:val="24"/>
          <w:szCs w:val="24"/>
        </w:rPr>
        <w:t>et al</w:t>
      </w:r>
      <w:r w:rsidR="00605611" w:rsidRPr="00462C0B">
        <w:rPr>
          <w:rFonts w:ascii="Times New Roman" w:hAnsi="Times New Roman" w:cs="Times New Roman"/>
          <w:i/>
          <w:iCs/>
          <w:color w:val="000000" w:themeColor="text1"/>
          <w:sz w:val="24"/>
          <w:szCs w:val="24"/>
        </w:rPr>
        <w:t>.</w:t>
      </w:r>
      <w:r w:rsidR="00D6673B" w:rsidRPr="00462C0B">
        <w:rPr>
          <w:rFonts w:ascii="Times New Roman" w:hAnsi="Times New Roman" w:cs="Times New Roman"/>
          <w:color w:val="000000" w:themeColor="text1"/>
          <w:sz w:val="24"/>
          <w:szCs w:val="24"/>
        </w:rPr>
        <w:t xml:space="preserve"> 2021</w:t>
      </w:r>
      <w:r w:rsidR="00605611" w:rsidRPr="00462C0B">
        <w:rPr>
          <w:rFonts w:ascii="Times New Roman" w:hAnsi="Times New Roman" w:cs="Times New Roman"/>
          <w:color w:val="000000" w:themeColor="text1"/>
          <w:sz w:val="24"/>
          <w:szCs w:val="24"/>
        </w:rPr>
        <w:t xml:space="preserve">; Simpson </w:t>
      </w:r>
      <w:r w:rsidR="00605611" w:rsidRPr="00462C0B">
        <w:rPr>
          <w:rFonts w:ascii="Times New Roman" w:hAnsi="Times New Roman" w:cs="Times New Roman"/>
          <w:i/>
          <w:iCs/>
          <w:color w:val="000000" w:themeColor="text1"/>
          <w:sz w:val="24"/>
          <w:szCs w:val="24"/>
        </w:rPr>
        <w:t>et al</w:t>
      </w:r>
      <w:r w:rsidR="00605611" w:rsidRPr="00462C0B">
        <w:rPr>
          <w:rFonts w:ascii="Times New Roman" w:hAnsi="Times New Roman" w:cs="Times New Roman"/>
          <w:color w:val="000000" w:themeColor="text1"/>
          <w:sz w:val="24"/>
          <w:szCs w:val="24"/>
        </w:rPr>
        <w:t xml:space="preserve"> </w:t>
      </w:r>
      <w:r w:rsidR="00D6673B" w:rsidRPr="00462C0B">
        <w:rPr>
          <w:rFonts w:ascii="Times New Roman" w:hAnsi="Times New Roman" w:cs="Times New Roman"/>
          <w:color w:val="000000" w:themeColor="text1"/>
          <w:sz w:val="24"/>
          <w:szCs w:val="24"/>
        </w:rPr>
        <w:t xml:space="preserve">2022; Kangas and Ollikainen 2019).  This is challenging from a research perspective when considering how best to design an offset market for both ecological and economic effectiveness, but also in incentivising landowners to participate in a market. Simpson </w:t>
      </w:r>
      <w:r w:rsidR="00D6673B" w:rsidRPr="00462C0B">
        <w:rPr>
          <w:rFonts w:ascii="Times New Roman" w:hAnsi="Times New Roman" w:cs="Times New Roman"/>
          <w:i/>
          <w:iCs/>
          <w:color w:val="000000" w:themeColor="text1"/>
          <w:sz w:val="24"/>
          <w:szCs w:val="24"/>
        </w:rPr>
        <w:t xml:space="preserve">et al. </w:t>
      </w:r>
      <w:r w:rsidR="00D6673B" w:rsidRPr="00462C0B">
        <w:rPr>
          <w:rFonts w:ascii="Times New Roman" w:hAnsi="Times New Roman" w:cs="Times New Roman"/>
          <w:color w:val="000000" w:themeColor="text1"/>
          <w:sz w:val="24"/>
          <w:szCs w:val="24"/>
        </w:rPr>
        <w:t xml:space="preserve">(2021, 2022) attempt to value habitat and species-based offsets in the UK using agricultural gross margin data acting as a proxy for a farmer’s minimum willingness to accept a change in land use from agriculture to offsetting and compare this with developers’ maximum willingness to pay for a credit as a function of land value for housing and the number of credits required. However, critically this does not include restoration cost data and transaction costs data. Kangas and Ollikainen (2019) </w:t>
      </w:r>
      <w:r w:rsidR="00F41D70" w:rsidRPr="00462C0B">
        <w:rPr>
          <w:rFonts w:ascii="Times New Roman" w:hAnsi="Times New Roman" w:cs="Times New Roman"/>
          <w:color w:val="000000" w:themeColor="text1"/>
          <w:sz w:val="24"/>
          <w:szCs w:val="24"/>
        </w:rPr>
        <w:t>needed to rely</w:t>
      </w:r>
      <w:r w:rsidR="00D6673B" w:rsidRPr="00462C0B">
        <w:rPr>
          <w:rFonts w:ascii="Times New Roman" w:hAnsi="Times New Roman" w:cs="Times New Roman"/>
          <w:color w:val="000000" w:themeColor="text1"/>
          <w:sz w:val="24"/>
          <w:szCs w:val="24"/>
        </w:rPr>
        <w:t xml:space="preserve"> on expert assessments and assumptions to develop their economic model of offsetting in Finland. </w:t>
      </w:r>
      <w:r w:rsidR="002726EA" w:rsidRPr="00462C0B">
        <w:rPr>
          <w:rFonts w:ascii="Times New Roman" w:hAnsi="Times New Roman" w:cs="Times New Roman"/>
          <w:color w:val="000000" w:themeColor="text1"/>
          <w:sz w:val="24"/>
          <w:szCs w:val="24"/>
        </w:rPr>
        <w:t>A wider literature exists on factors determining participation in agri-environment schemes</w:t>
      </w:r>
      <w:r w:rsidR="00964EBF" w:rsidRPr="00462C0B">
        <w:rPr>
          <w:rFonts w:ascii="Times New Roman" w:hAnsi="Times New Roman" w:cs="Times New Roman"/>
          <w:color w:val="000000" w:themeColor="text1"/>
          <w:sz w:val="24"/>
          <w:szCs w:val="24"/>
        </w:rPr>
        <w:t xml:space="preserve"> (e</w:t>
      </w:r>
      <w:r w:rsidR="004C5016" w:rsidRPr="00462C0B">
        <w:rPr>
          <w:rFonts w:ascii="Times New Roman" w:hAnsi="Times New Roman" w:cs="Times New Roman"/>
          <w:color w:val="000000" w:themeColor="text1"/>
          <w:sz w:val="24"/>
          <w:szCs w:val="24"/>
        </w:rPr>
        <w:t>.g.</w:t>
      </w:r>
      <w:r w:rsidR="00964EBF" w:rsidRPr="00462C0B">
        <w:rPr>
          <w:rFonts w:ascii="Times New Roman" w:hAnsi="Times New Roman" w:cs="Times New Roman"/>
          <w:color w:val="000000" w:themeColor="text1"/>
          <w:sz w:val="24"/>
          <w:szCs w:val="24"/>
        </w:rPr>
        <w:t xml:space="preserve"> </w:t>
      </w:r>
      <w:r w:rsidR="00C40754" w:rsidRPr="00462C0B">
        <w:rPr>
          <w:rFonts w:ascii="Times New Roman" w:hAnsi="Times New Roman" w:cs="Times New Roman"/>
          <w:color w:val="000000" w:themeColor="text1"/>
          <w:sz w:val="24"/>
          <w:szCs w:val="24"/>
        </w:rPr>
        <w:t xml:space="preserve">Dessart </w:t>
      </w:r>
      <w:r w:rsidR="00C40754" w:rsidRPr="00462C0B">
        <w:rPr>
          <w:rFonts w:ascii="Times New Roman" w:hAnsi="Times New Roman" w:cs="Times New Roman"/>
          <w:i/>
          <w:iCs/>
          <w:color w:val="000000" w:themeColor="text1"/>
          <w:sz w:val="24"/>
          <w:szCs w:val="24"/>
        </w:rPr>
        <w:t>et al</w:t>
      </w:r>
      <w:r w:rsidR="004C5016" w:rsidRPr="00462C0B">
        <w:rPr>
          <w:rFonts w:ascii="Times New Roman" w:hAnsi="Times New Roman" w:cs="Times New Roman"/>
          <w:i/>
          <w:iCs/>
          <w:color w:val="000000" w:themeColor="text1"/>
          <w:sz w:val="24"/>
          <w:szCs w:val="24"/>
        </w:rPr>
        <w:t>.</w:t>
      </w:r>
      <w:r w:rsidR="00C40754" w:rsidRPr="00462C0B">
        <w:rPr>
          <w:rFonts w:ascii="Times New Roman" w:hAnsi="Times New Roman" w:cs="Times New Roman"/>
          <w:color w:val="000000" w:themeColor="text1"/>
          <w:sz w:val="24"/>
          <w:szCs w:val="24"/>
        </w:rPr>
        <w:t xml:space="preserve"> 2019</w:t>
      </w:r>
      <w:r w:rsidR="00964EBF" w:rsidRPr="00462C0B">
        <w:rPr>
          <w:rFonts w:ascii="Times New Roman" w:hAnsi="Times New Roman" w:cs="Times New Roman"/>
          <w:color w:val="000000" w:themeColor="text1"/>
          <w:sz w:val="24"/>
          <w:szCs w:val="24"/>
        </w:rPr>
        <w:t>), which yields insights which will also likely apply to offset supply decisions</w:t>
      </w:r>
      <w:r w:rsidR="0035680C" w:rsidRPr="00462C0B">
        <w:rPr>
          <w:rFonts w:ascii="Times New Roman" w:hAnsi="Times New Roman" w:cs="Times New Roman"/>
          <w:color w:val="000000" w:themeColor="text1"/>
          <w:sz w:val="24"/>
          <w:szCs w:val="24"/>
        </w:rPr>
        <w:t>.</w:t>
      </w:r>
      <w:r w:rsidR="0097643A" w:rsidRPr="00462C0B">
        <w:rPr>
          <w:rFonts w:ascii="Times New Roman" w:hAnsi="Times New Roman" w:cs="Times New Roman"/>
          <w:color w:val="000000" w:themeColor="text1"/>
          <w:sz w:val="24"/>
          <w:szCs w:val="24"/>
        </w:rPr>
        <w:t xml:space="preserve"> This literature points to the role played by non-financial incentives in determining participation decisions.</w:t>
      </w:r>
    </w:p>
    <w:p w14:paraId="2DCB9A6F" w14:textId="5FE2BAB4" w:rsidR="00D6673B" w:rsidRPr="00462C0B" w:rsidRDefault="00555FBB" w:rsidP="00C551FD">
      <w:pPr>
        <w:spacing w:line="360" w:lineRule="auto"/>
        <w:rPr>
          <w:rFonts w:asciiTheme="majorBidi" w:hAnsiTheme="majorBidi" w:cstheme="majorBidi"/>
          <w:sz w:val="24"/>
          <w:szCs w:val="24"/>
        </w:rPr>
      </w:pPr>
      <w:r w:rsidRPr="00462C0B">
        <w:rPr>
          <w:rFonts w:ascii="Times New Roman" w:hAnsi="Times New Roman" w:cs="Times New Roman"/>
          <w:color w:val="000000" w:themeColor="text1"/>
          <w:sz w:val="24"/>
          <w:szCs w:val="24"/>
        </w:rPr>
        <w:t xml:space="preserve">Even within the well-established USA </w:t>
      </w:r>
      <w:r w:rsidR="001A017A" w:rsidRPr="00462C0B">
        <w:rPr>
          <w:rFonts w:ascii="Times New Roman" w:hAnsi="Times New Roman" w:cs="Times New Roman"/>
          <w:color w:val="000000" w:themeColor="text1"/>
          <w:sz w:val="24"/>
          <w:szCs w:val="24"/>
        </w:rPr>
        <w:t xml:space="preserve">wetland mitigation banking market </w:t>
      </w:r>
      <w:r w:rsidRPr="00462C0B">
        <w:rPr>
          <w:rFonts w:ascii="Times New Roman" w:hAnsi="Times New Roman" w:cs="Times New Roman"/>
          <w:color w:val="000000" w:themeColor="text1"/>
          <w:sz w:val="24"/>
          <w:szCs w:val="24"/>
        </w:rPr>
        <w:t xml:space="preserve">it is difficult </w:t>
      </w:r>
      <w:r w:rsidR="00EC4C10" w:rsidRPr="00462C0B">
        <w:rPr>
          <w:rFonts w:ascii="Times New Roman" w:hAnsi="Times New Roman" w:cs="Times New Roman"/>
          <w:color w:val="000000" w:themeColor="text1"/>
          <w:sz w:val="24"/>
          <w:szCs w:val="24"/>
        </w:rPr>
        <w:t xml:space="preserve">to </w:t>
      </w:r>
      <w:r w:rsidR="001A017A" w:rsidRPr="00462C0B">
        <w:rPr>
          <w:rFonts w:ascii="Times New Roman" w:hAnsi="Times New Roman" w:cs="Times New Roman"/>
          <w:color w:val="000000" w:themeColor="text1"/>
          <w:sz w:val="24"/>
          <w:szCs w:val="24"/>
        </w:rPr>
        <w:t>source reliable</w:t>
      </w:r>
      <w:r w:rsidR="00EC4C10" w:rsidRPr="00462C0B">
        <w:rPr>
          <w:rFonts w:ascii="Times New Roman" w:hAnsi="Times New Roman" w:cs="Times New Roman"/>
          <w:color w:val="000000" w:themeColor="text1"/>
          <w:sz w:val="24"/>
          <w:szCs w:val="24"/>
        </w:rPr>
        <w:t xml:space="preserve"> cost data. Mitigation bankers are often </w:t>
      </w:r>
      <w:r w:rsidR="00EA7A45" w:rsidRPr="00462C0B">
        <w:rPr>
          <w:rFonts w:ascii="Times New Roman" w:hAnsi="Times New Roman" w:cs="Times New Roman"/>
          <w:color w:val="000000" w:themeColor="text1"/>
          <w:sz w:val="24"/>
          <w:szCs w:val="24"/>
        </w:rPr>
        <w:t>reluctant</w:t>
      </w:r>
      <w:r w:rsidR="00EC4C10" w:rsidRPr="00462C0B">
        <w:rPr>
          <w:rFonts w:ascii="Times New Roman" w:hAnsi="Times New Roman" w:cs="Times New Roman"/>
          <w:color w:val="000000" w:themeColor="text1"/>
          <w:sz w:val="24"/>
          <w:szCs w:val="24"/>
        </w:rPr>
        <w:t xml:space="preserve"> to reveal bank cost information </w:t>
      </w:r>
      <w:r w:rsidR="00EA7A45" w:rsidRPr="00462C0B">
        <w:rPr>
          <w:rFonts w:ascii="Times New Roman" w:hAnsi="Times New Roman" w:cs="Times New Roman"/>
          <w:color w:val="000000" w:themeColor="text1"/>
          <w:sz w:val="24"/>
          <w:szCs w:val="24"/>
        </w:rPr>
        <w:t xml:space="preserve">(BenDor </w:t>
      </w:r>
      <w:r w:rsidR="00EA7A45" w:rsidRPr="00462C0B">
        <w:rPr>
          <w:rFonts w:ascii="Times New Roman" w:hAnsi="Times New Roman" w:cs="Times New Roman"/>
          <w:i/>
          <w:iCs/>
          <w:color w:val="000000" w:themeColor="text1"/>
          <w:sz w:val="24"/>
          <w:szCs w:val="24"/>
        </w:rPr>
        <w:t>et al</w:t>
      </w:r>
      <w:r w:rsidR="004C5016" w:rsidRPr="00462C0B">
        <w:rPr>
          <w:rFonts w:ascii="Times New Roman" w:hAnsi="Times New Roman" w:cs="Times New Roman"/>
          <w:i/>
          <w:iCs/>
          <w:color w:val="000000" w:themeColor="text1"/>
          <w:sz w:val="24"/>
          <w:szCs w:val="24"/>
        </w:rPr>
        <w:t>.</w:t>
      </w:r>
      <w:r w:rsidR="00EA7A45" w:rsidRPr="00462C0B">
        <w:rPr>
          <w:rFonts w:ascii="Times New Roman" w:hAnsi="Times New Roman" w:cs="Times New Roman"/>
          <w:color w:val="000000" w:themeColor="text1"/>
          <w:sz w:val="24"/>
          <w:szCs w:val="24"/>
        </w:rPr>
        <w:t xml:space="preserve"> 2011). </w:t>
      </w:r>
      <w:r w:rsidR="00D6673B" w:rsidRPr="00462C0B">
        <w:rPr>
          <w:rFonts w:ascii="Times New Roman" w:hAnsi="Times New Roman" w:cs="Times New Roman"/>
          <w:color w:val="000000" w:themeColor="text1"/>
          <w:sz w:val="24"/>
          <w:szCs w:val="24"/>
        </w:rPr>
        <w:t xml:space="preserve">The most recent analysis by Poudel and Pokharel (2021) costed 26 habitat conservation banks in California, compiling their cost and revenue data. </w:t>
      </w:r>
      <w:r w:rsidR="00D6673B" w:rsidRPr="00462C0B">
        <w:rPr>
          <w:rFonts w:asciiTheme="majorBidi" w:hAnsiTheme="majorBidi" w:cstheme="majorBidi"/>
          <w:sz w:val="24"/>
          <w:szCs w:val="24"/>
        </w:rPr>
        <w:t xml:space="preserve">The average annual cost of operating </w:t>
      </w:r>
      <w:r w:rsidR="004618DD" w:rsidRPr="00462C0B">
        <w:rPr>
          <w:rFonts w:asciiTheme="majorBidi" w:hAnsiTheme="majorBidi" w:cstheme="majorBidi"/>
          <w:sz w:val="24"/>
          <w:szCs w:val="24"/>
        </w:rPr>
        <w:t>for an offset supplier</w:t>
      </w:r>
      <w:r w:rsidR="00D6673B" w:rsidRPr="00462C0B">
        <w:rPr>
          <w:rFonts w:asciiTheme="majorBidi" w:hAnsiTheme="majorBidi" w:cstheme="majorBidi"/>
          <w:sz w:val="24"/>
          <w:szCs w:val="24"/>
        </w:rPr>
        <w:t xml:space="preserve"> was $42 /acre (or £33 GBP per acre) and the average credit price was $6014 /acre (or £6014 GBP per acre). The authors found that financial performance depended on the location of the project and the size of the landholding, with larger offset banks generated generating returns for the investment spent. Furthermore, they found that banks that received large upfront payments (before the </w:t>
      </w:r>
      <w:r w:rsidR="00D6673B" w:rsidRPr="00462C0B">
        <w:rPr>
          <w:rFonts w:asciiTheme="majorBidi" w:hAnsiTheme="majorBidi" w:cstheme="majorBidi"/>
          <w:sz w:val="24"/>
          <w:szCs w:val="24"/>
        </w:rPr>
        <w:lastRenderedPageBreak/>
        <w:t xml:space="preserve">restoration was established) were more likely to not meet the conservation goals and had poor follow up management of the site. </w:t>
      </w:r>
    </w:p>
    <w:p w14:paraId="16125E4A" w14:textId="352F8965" w:rsidR="003B6C51" w:rsidRPr="00462C0B" w:rsidRDefault="004C3C89" w:rsidP="00981CC2">
      <w:pPr>
        <w:spacing w:line="360" w:lineRule="auto"/>
        <w:rPr>
          <w:rFonts w:ascii="Times New Roman" w:hAnsi="Times New Roman" w:cs="Times New Roman"/>
          <w:sz w:val="24"/>
          <w:szCs w:val="24"/>
        </w:rPr>
      </w:pPr>
      <w:r w:rsidRPr="00462C0B">
        <w:rPr>
          <w:rFonts w:ascii="Times New Roman" w:hAnsi="Times New Roman" w:cs="Times New Roman"/>
          <w:sz w:val="24"/>
          <w:szCs w:val="24"/>
        </w:rPr>
        <w:t>For biodiversity offsetting, reliable price signals reduce the uncertainty on investor returns from development and in turn reduce development costs (</w:t>
      </w:r>
      <w:r w:rsidR="00C46094" w:rsidRPr="00462C0B">
        <w:rPr>
          <w:rFonts w:ascii="Times New Roman" w:hAnsi="Times New Roman" w:cs="Times New Roman"/>
          <w:sz w:val="24"/>
          <w:szCs w:val="24"/>
        </w:rPr>
        <w:t>Salzman and Ruhl 200</w:t>
      </w:r>
      <w:r w:rsidR="004F450B" w:rsidRPr="00462C0B">
        <w:rPr>
          <w:rFonts w:ascii="Times New Roman" w:hAnsi="Times New Roman" w:cs="Times New Roman"/>
          <w:sz w:val="24"/>
          <w:szCs w:val="24"/>
        </w:rPr>
        <w:t>0</w:t>
      </w:r>
      <w:r w:rsidR="00C46094" w:rsidRPr="00462C0B">
        <w:rPr>
          <w:rFonts w:ascii="Times New Roman" w:hAnsi="Times New Roman" w:cs="Times New Roman"/>
          <w:sz w:val="24"/>
          <w:szCs w:val="24"/>
        </w:rPr>
        <w:t xml:space="preserve">; </w:t>
      </w:r>
      <w:r w:rsidRPr="00462C0B">
        <w:rPr>
          <w:rFonts w:ascii="Times New Roman" w:hAnsi="Times New Roman" w:cs="Times New Roman"/>
          <w:sz w:val="24"/>
          <w:szCs w:val="24"/>
        </w:rPr>
        <w:t xml:space="preserve">Wissel and Watzold 2010). </w:t>
      </w:r>
    </w:p>
    <w:p w14:paraId="079B091A" w14:textId="6E286944" w:rsidR="00AF5C1E" w:rsidRPr="00462C0B" w:rsidRDefault="009F6418" w:rsidP="000622A1">
      <w:pPr>
        <w:pStyle w:val="Heading1"/>
      </w:pPr>
      <w:r w:rsidRPr="00462C0B">
        <w:t xml:space="preserve">Going forward: who are we wanting to enrol in offset </w:t>
      </w:r>
      <w:r w:rsidR="004E40A2" w:rsidRPr="00462C0B">
        <w:t>markets in the UK?</w:t>
      </w:r>
    </w:p>
    <w:p w14:paraId="59218DF8" w14:textId="77777777" w:rsidR="00203D1B" w:rsidRDefault="000622A1" w:rsidP="00203D1B">
      <w:pPr>
        <w:spacing w:line="360" w:lineRule="auto"/>
        <w:rPr>
          <w:rFonts w:ascii="Times New Roman" w:eastAsia="Times New Roman" w:hAnsi="Times New Roman" w:cs="Times New Roman"/>
          <w:color w:val="000000" w:themeColor="text1"/>
          <w:sz w:val="24"/>
          <w:szCs w:val="24"/>
          <w:lang w:eastAsia="en-GB"/>
        </w:rPr>
      </w:pPr>
      <w:r w:rsidRPr="00462C0B">
        <w:rPr>
          <w:rFonts w:ascii="Times New Roman" w:eastAsia="Times New Roman" w:hAnsi="Times New Roman" w:cs="Times New Roman"/>
          <w:color w:val="000000" w:themeColor="text1"/>
          <w:sz w:val="24"/>
          <w:szCs w:val="24"/>
          <w:lang w:eastAsia="en-GB"/>
        </w:rPr>
        <w:t xml:space="preserve">Our literature review </w:t>
      </w:r>
      <w:r w:rsidR="00FA4973" w:rsidRPr="00462C0B">
        <w:rPr>
          <w:rFonts w:ascii="Times New Roman" w:eastAsia="Times New Roman" w:hAnsi="Times New Roman" w:cs="Times New Roman"/>
          <w:color w:val="000000" w:themeColor="text1"/>
          <w:sz w:val="24"/>
          <w:szCs w:val="24"/>
          <w:lang w:eastAsia="en-GB"/>
        </w:rPr>
        <w:t xml:space="preserve">has shown </w:t>
      </w:r>
      <w:r w:rsidR="009E66BA" w:rsidRPr="00462C0B">
        <w:rPr>
          <w:rFonts w:ascii="Times New Roman" w:eastAsia="Times New Roman" w:hAnsi="Times New Roman" w:cs="Times New Roman"/>
          <w:color w:val="000000" w:themeColor="text1"/>
          <w:sz w:val="24"/>
          <w:szCs w:val="24"/>
          <w:lang w:eastAsia="en-GB"/>
        </w:rPr>
        <w:t xml:space="preserve">that at least </w:t>
      </w:r>
      <w:r w:rsidR="00FA4973" w:rsidRPr="00462C0B">
        <w:rPr>
          <w:rFonts w:ascii="Times New Roman" w:eastAsia="Times New Roman" w:hAnsi="Times New Roman" w:cs="Times New Roman"/>
          <w:color w:val="000000" w:themeColor="text1"/>
          <w:sz w:val="24"/>
          <w:szCs w:val="24"/>
          <w:lang w:eastAsia="en-GB"/>
        </w:rPr>
        <w:t>t</w:t>
      </w:r>
      <w:r w:rsidR="00BB67F0" w:rsidRPr="00462C0B">
        <w:rPr>
          <w:rFonts w:ascii="Times New Roman" w:eastAsia="Times New Roman" w:hAnsi="Times New Roman" w:cs="Times New Roman"/>
          <w:color w:val="000000" w:themeColor="text1"/>
          <w:sz w:val="24"/>
          <w:szCs w:val="24"/>
          <w:lang w:eastAsia="en-GB"/>
        </w:rPr>
        <w:t>wo</w:t>
      </w:r>
      <w:r w:rsidR="00FA4973" w:rsidRPr="00462C0B">
        <w:rPr>
          <w:rFonts w:ascii="Times New Roman" w:eastAsia="Times New Roman" w:hAnsi="Times New Roman" w:cs="Times New Roman"/>
          <w:color w:val="000000" w:themeColor="text1"/>
          <w:sz w:val="24"/>
          <w:szCs w:val="24"/>
          <w:lang w:eastAsia="en-GB"/>
        </w:rPr>
        <w:t xml:space="preserve"> </w:t>
      </w:r>
      <w:r w:rsidR="00E513C0" w:rsidRPr="00462C0B">
        <w:rPr>
          <w:rFonts w:ascii="Times New Roman" w:eastAsia="Times New Roman" w:hAnsi="Times New Roman" w:cs="Times New Roman"/>
          <w:color w:val="000000" w:themeColor="text1"/>
          <w:sz w:val="24"/>
          <w:szCs w:val="24"/>
          <w:lang w:eastAsia="en-GB"/>
        </w:rPr>
        <w:t>critical areas affect the de</w:t>
      </w:r>
      <w:r w:rsidR="00B13E15" w:rsidRPr="00462C0B">
        <w:rPr>
          <w:rFonts w:ascii="Times New Roman" w:eastAsia="Times New Roman" w:hAnsi="Times New Roman" w:cs="Times New Roman"/>
          <w:color w:val="000000" w:themeColor="text1"/>
          <w:sz w:val="24"/>
          <w:szCs w:val="24"/>
          <w:lang w:eastAsia="en-GB"/>
        </w:rPr>
        <w:t>cis</w:t>
      </w:r>
      <w:r w:rsidR="00E513C0" w:rsidRPr="00462C0B">
        <w:rPr>
          <w:rFonts w:ascii="Times New Roman" w:eastAsia="Times New Roman" w:hAnsi="Times New Roman" w:cs="Times New Roman"/>
          <w:color w:val="000000" w:themeColor="text1"/>
          <w:sz w:val="24"/>
          <w:szCs w:val="24"/>
          <w:lang w:eastAsia="en-GB"/>
        </w:rPr>
        <w:t>ions of the land managers to participate in offset markets and ultima</w:t>
      </w:r>
      <w:r w:rsidR="00B13E15" w:rsidRPr="00462C0B">
        <w:rPr>
          <w:rFonts w:ascii="Times New Roman" w:eastAsia="Times New Roman" w:hAnsi="Times New Roman" w:cs="Times New Roman"/>
          <w:color w:val="000000" w:themeColor="text1"/>
          <w:sz w:val="24"/>
          <w:szCs w:val="24"/>
          <w:lang w:eastAsia="en-GB"/>
        </w:rPr>
        <w:t>tel</w:t>
      </w:r>
      <w:r w:rsidR="00E513C0" w:rsidRPr="00462C0B">
        <w:rPr>
          <w:rFonts w:ascii="Times New Roman" w:eastAsia="Times New Roman" w:hAnsi="Times New Roman" w:cs="Times New Roman"/>
          <w:color w:val="000000" w:themeColor="text1"/>
          <w:sz w:val="24"/>
          <w:szCs w:val="24"/>
          <w:lang w:eastAsia="en-GB"/>
        </w:rPr>
        <w:t>y the outcome of such schemes: mandatory trading</w:t>
      </w:r>
      <w:r w:rsidR="00BB67F0" w:rsidRPr="00462C0B">
        <w:rPr>
          <w:rFonts w:ascii="Times New Roman" w:eastAsia="Times New Roman" w:hAnsi="Times New Roman" w:cs="Times New Roman"/>
          <w:color w:val="000000" w:themeColor="text1"/>
          <w:sz w:val="24"/>
          <w:szCs w:val="24"/>
          <w:lang w:eastAsia="en-GB"/>
        </w:rPr>
        <w:t xml:space="preserve"> and </w:t>
      </w:r>
      <w:r w:rsidR="00C779DC" w:rsidRPr="00462C0B">
        <w:rPr>
          <w:rFonts w:ascii="Times New Roman" w:eastAsia="Times New Roman" w:hAnsi="Times New Roman" w:cs="Times New Roman"/>
          <w:color w:val="000000" w:themeColor="text1"/>
          <w:sz w:val="24"/>
          <w:szCs w:val="24"/>
          <w:lang w:eastAsia="en-GB"/>
        </w:rPr>
        <w:t>in</w:t>
      </w:r>
      <w:r w:rsidR="00DD2CF7" w:rsidRPr="00462C0B">
        <w:rPr>
          <w:rFonts w:ascii="Times New Roman" w:eastAsia="Times New Roman" w:hAnsi="Times New Roman" w:cs="Times New Roman"/>
          <w:color w:val="000000" w:themeColor="text1"/>
          <w:sz w:val="24"/>
          <w:szCs w:val="24"/>
          <w:lang w:eastAsia="en-GB"/>
        </w:rPr>
        <w:t>-</w:t>
      </w:r>
      <w:r w:rsidR="00C779DC" w:rsidRPr="00462C0B">
        <w:rPr>
          <w:rFonts w:ascii="Times New Roman" w:eastAsia="Times New Roman" w:hAnsi="Times New Roman" w:cs="Times New Roman"/>
          <w:color w:val="000000" w:themeColor="text1"/>
          <w:sz w:val="24"/>
          <w:szCs w:val="24"/>
          <w:lang w:eastAsia="en-GB"/>
        </w:rPr>
        <w:t>perpetuity offsetting</w:t>
      </w:r>
      <w:r w:rsidR="00B13E15" w:rsidRPr="00462C0B">
        <w:rPr>
          <w:rFonts w:ascii="Times New Roman" w:eastAsia="Times New Roman" w:hAnsi="Times New Roman" w:cs="Times New Roman"/>
          <w:color w:val="000000" w:themeColor="text1"/>
          <w:sz w:val="24"/>
          <w:szCs w:val="24"/>
          <w:lang w:eastAsia="en-GB"/>
        </w:rPr>
        <w:t xml:space="preserve">. </w:t>
      </w:r>
      <w:r w:rsidR="00203D1B">
        <w:rPr>
          <w:rFonts w:ascii="Times New Roman" w:eastAsia="Times New Roman" w:hAnsi="Times New Roman" w:cs="Times New Roman"/>
          <w:color w:val="000000" w:themeColor="text1"/>
          <w:sz w:val="24"/>
          <w:szCs w:val="24"/>
          <w:lang w:eastAsia="en-GB"/>
        </w:rPr>
        <w:t xml:space="preserve"> </w:t>
      </w:r>
    </w:p>
    <w:p w14:paraId="60F206A6" w14:textId="70A552F4" w:rsidR="00AD5AAE" w:rsidRDefault="00AD5AAE" w:rsidP="00203D1B">
      <w:pPr>
        <w:spacing w:line="360" w:lineRule="auto"/>
        <w:rPr>
          <w:rFonts w:ascii="Times New Roman" w:eastAsia="Times New Roman" w:hAnsi="Times New Roman" w:cs="Times New Roman"/>
          <w:color w:val="000000" w:themeColor="text1"/>
          <w:sz w:val="24"/>
          <w:szCs w:val="24"/>
          <w:lang w:eastAsia="en-GB"/>
        </w:rPr>
      </w:pPr>
      <w:r w:rsidRPr="00462C0B">
        <w:rPr>
          <w:rFonts w:ascii="Times New Roman" w:eastAsia="Times New Roman" w:hAnsi="Times New Roman" w:cs="Times New Roman"/>
          <w:color w:val="000000" w:themeColor="text1"/>
          <w:sz w:val="24"/>
          <w:szCs w:val="24"/>
          <w:lang w:eastAsia="en-GB"/>
        </w:rPr>
        <w:t xml:space="preserve">At present, developers have an incentive to undertake their own mitigation rather than purchasing credits. </w:t>
      </w:r>
      <w:r w:rsidR="00FC01CB" w:rsidRPr="00462C0B">
        <w:rPr>
          <w:rFonts w:ascii="Times New Roman" w:eastAsia="Times New Roman" w:hAnsi="Times New Roman" w:cs="Times New Roman"/>
          <w:color w:val="000000" w:themeColor="text1"/>
          <w:sz w:val="24"/>
          <w:szCs w:val="24"/>
          <w:lang w:eastAsia="en-GB"/>
        </w:rPr>
        <w:t>This undermines the creation of the market as potential offset suppliers are not guaranteed</w:t>
      </w:r>
      <w:r w:rsidR="00DD2CF7" w:rsidRPr="00462C0B">
        <w:rPr>
          <w:rFonts w:ascii="Times New Roman" w:eastAsia="Times New Roman" w:hAnsi="Times New Roman" w:cs="Times New Roman"/>
          <w:color w:val="000000" w:themeColor="text1"/>
          <w:sz w:val="24"/>
          <w:szCs w:val="24"/>
          <w:lang w:eastAsia="en-GB"/>
        </w:rPr>
        <w:t>,</w:t>
      </w:r>
      <w:r w:rsidR="00FC01CB" w:rsidRPr="00462C0B">
        <w:rPr>
          <w:rFonts w:ascii="Times New Roman" w:eastAsia="Times New Roman" w:hAnsi="Times New Roman" w:cs="Times New Roman"/>
          <w:color w:val="000000" w:themeColor="text1"/>
          <w:sz w:val="24"/>
          <w:szCs w:val="24"/>
          <w:lang w:eastAsia="en-GB"/>
        </w:rPr>
        <w:t xml:space="preserve"> trading partners.</w:t>
      </w:r>
      <w:r w:rsidR="00AC2065" w:rsidRPr="00462C0B">
        <w:rPr>
          <w:rFonts w:ascii="Times New Roman" w:eastAsia="Times New Roman" w:hAnsi="Times New Roman" w:cs="Times New Roman"/>
          <w:color w:val="000000" w:themeColor="text1"/>
          <w:sz w:val="24"/>
          <w:szCs w:val="24"/>
          <w:lang w:eastAsia="en-GB"/>
        </w:rPr>
        <w:t xml:space="preserve"> The evidence from the US Wetland Mitigation Banking market is clear, </w:t>
      </w:r>
      <w:r w:rsidR="00203D1B">
        <w:rPr>
          <w:rFonts w:ascii="Times New Roman" w:eastAsia="Times New Roman" w:hAnsi="Times New Roman" w:cs="Times New Roman"/>
          <w:color w:val="000000" w:themeColor="text1"/>
          <w:sz w:val="24"/>
          <w:szCs w:val="24"/>
          <w:lang w:eastAsia="en-GB"/>
        </w:rPr>
        <w:t xml:space="preserve">as well as evidence from the revised </w:t>
      </w:r>
      <w:proofErr w:type="spellStart"/>
      <w:r w:rsidR="00203D1B">
        <w:rPr>
          <w:rFonts w:ascii="Times New Roman" w:eastAsia="Times New Roman" w:hAnsi="Times New Roman" w:cs="Times New Roman"/>
          <w:color w:val="000000" w:themeColor="text1"/>
          <w:sz w:val="24"/>
          <w:szCs w:val="24"/>
          <w:lang w:eastAsia="en-GB"/>
        </w:rPr>
        <w:t>BioBanking</w:t>
      </w:r>
      <w:proofErr w:type="spellEnd"/>
      <w:r w:rsidR="00203D1B">
        <w:rPr>
          <w:rFonts w:ascii="Times New Roman" w:eastAsia="Times New Roman" w:hAnsi="Times New Roman" w:cs="Times New Roman"/>
          <w:color w:val="000000" w:themeColor="text1"/>
          <w:sz w:val="24"/>
          <w:szCs w:val="24"/>
          <w:lang w:eastAsia="en-GB"/>
        </w:rPr>
        <w:t xml:space="preserve"> market in Australia and supporting </w:t>
      </w:r>
      <w:r w:rsidR="00AC2065" w:rsidRPr="00462C0B">
        <w:rPr>
          <w:rFonts w:ascii="Times New Roman" w:eastAsia="Times New Roman" w:hAnsi="Times New Roman" w:cs="Times New Roman"/>
          <w:color w:val="000000" w:themeColor="text1"/>
          <w:sz w:val="24"/>
          <w:szCs w:val="24"/>
          <w:lang w:eastAsia="en-GB"/>
        </w:rPr>
        <w:t xml:space="preserve">stakeholder evidence from the UK: to develop a market </w:t>
      </w:r>
      <w:r w:rsidR="00FC12AF" w:rsidRPr="00462C0B">
        <w:rPr>
          <w:rFonts w:ascii="Times New Roman" w:eastAsia="Times New Roman" w:hAnsi="Times New Roman" w:cs="Times New Roman"/>
          <w:color w:val="000000" w:themeColor="text1"/>
          <w:sz w:val="24"/>
          <w:szCs w:val="24"/>
          <w:lang w:eastAsia="en-GB"/>
        </w:rPr>
        <w:t>it must be mandatory for developers to purchase credits from elsewhere rather than undertake compensatory actions themselves. In doing this, the burden on local authorities could be minimised</w:t>
      </w:r>
      <w:r w:rsidR="00BD749A" w:rsidRPr="00462C0B">
        <w:rPr>
          <w:rFonts w:ascii="Times New Roman" w:eastAsia="Times New Roman" w:hAnsi="Times New Roman" w:cs="Times New Roman"/>
          <w:color w:val="000000" w:themeColor="text1"/>
          <w:sz w:val="24"/>
          <w:szCs w:val="24"/>
          <w:lang w:eastAsia="en-GB"/>
        </w:rPr>
        <w:t xml:space="preserve"> by allowing them to focus on the follow</w:t>
      </w:r>
      <w:r w:rsidR="00DD2CF7" w:rsidRPr="00462C0B">
        <w:rPr>
          <w:rFonts w:ascii="Times New Roman" w:eastAsia="Times New Roman" w:hAnsi="Times New Roman" w:cs="Times New Roman"/>
          <w:color w:val="000000" w:themeColor="text1"/>
          <w:sz w:val="24"/>
          <w:szCs w:val="24"/>
          <w:lang w:eastAsia="en-GB"/>
        </w:rPr>
        <w:t>-</w:t>
      </w:r>
      <w:r w:rsidR="00BD749A" w:rsidRPr="00462C0B">
        <w:rPr>
          <w:rFonts w:ascii="Times New Roman" w:eastAsia="Times New Roman" w:hAnsi="Times New Roman" w:cs="Times New Roman"/>
          <w:color w:val="000000" w:themeColor="text1"/>
          <w:sz w:val="24"/>
          <w:szCs w:val="24"/>
          <w:lang w:eastAsia="en-GB"/>
        </w:rPr>
        <w:t>up monitoring and enforcement of registered offset suppliers only, rather than also monitoring ad-hoc developer lead compensation. By allowing the two options to co-</w:t>
      </w:r>
      <w:r w:rsidR="00332F55" w:rsidRPr="00462C0B">
        <w:rPr>
          <w:rFonts w:ascii="Times New Roman" w:eastAsia="Times New Roman" w:hAnsi="Times New Roman" w:cs="Times New Roman"/>
          <w:color w:val="000000" w:themeColor="text1"/>
          <w:sz w:val="24"/>
          <w:szCs w:val="24"/>
          <w:lang w:eastAsia="en-GB"/>
        </w:rPr>
        <w:t>exist</w:t>
      </w:r>
      <w:r w:rsidR="00BD749A" w:rsidRPr="00462C0B">
        <w:rPr>
          <w:rFonts w:ascii="Times New Roman" w:eastAsia="Times New Roman" w:hAnsi="Times New Roman" w:cs="Times New Roman"/>
          <w:color w:val="000000" w:themeColor="text1"/>
          <w:sz w:val="24"/>
          <w:szCs w:val="24"/>
          <w:lang w:eastAsia="en-GB"/>
        </w:rPr>
        <w:t xml:space="preserve"> it is spreading limited local </w:t>
      </w:r>
      <w:r w:rsidR="00332F55" w:rsidRPr="00462C0B">
        <w:rPr>
          <w:rFonts w:ascii="Times New Roman" w:eastAsia="Times New Roman" w:hAnsi="Times New Roman" w:cs="Times New Roman"/>
          <w:color w:val="000000" w:themeColor="text1"/>
          <w:sz w:val="24"/>
          <w:szCs w:val="24"/>
          <w:lang w:eastAsia="en-GB"/>
        </w:rPr>
        <w:t>authority</w:t>
      </w:r>
      <w:r w:rsidR="00BD749A" w:rsidRPr="00462C0B">
        <w:rPr>
          <w:rFonts w:ascii="Times New Roman" w:eastAsia="Times New Roman" w:hAnsi="Times New Roman" w:cs="Times New Roman"/>
          <w:color w:val="000000" w:themeColor="text1"/>
          <w:sz w:val="24"/>
          <w:szCs w:val="24"/>
          <w:lang w:eastAsia="en-GB"/>
        </w:rPr>
        <w:t xml:space="preserve"> resources extremely thin</w:t>
      </w:r>
      <w:r w:rsidR="00332F55" w:rsidRPr="00462C0B">
        <w:rPr>
          <w:rFonts w:ascii="Times New Roman" w:eastAsia="Times New Roman" w:hAnsi="Times New Roman" w:cs="Times New Roman"/>
          <w:color w:val="000000" w:themeColor="text1"/>
          <w:sz w:val="24"/>
          <w:szCs w:val="24"/>
          <w:lang w:eastAsia="en-GB"/>
        </w:rPr>
        <w:t xml:space="preserve">. </w:t>
      </w:r>
    </w:p>
    <w:p w14:paraId="644D4A89" w14:textId="64746D3A" w:rsidR="00522995" w:rsidRDefault="00655F8A" w:rsidP="00CE49FB">
      <w:pPr>
        <w:spacing w:line="36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Another constraint to landowners entering the market is the constraints of the policy, that is </w:t>
      </w:r>
      <w:r w:rsidRPr="009C78D5">
        <w:rPr>
          <w:rFonts w:ascii="Times New Roman" w:eastAsia="Times New Roman" w:hAnsi="Times New Roman" w:cs="Times New Roman"/>
          <w:color w:val="000000" w:themeColor="text1"/>
          <w:sz w:val="24"/>
          <w:szCs w:val="24"/>
          <w:lang w:eastAsia="en-GB"/>
        </w:rPr>
        <w:t xml:space="preserve">how prescriptive the policy is in terms of what the landowner </w:t>
      </w:r>
      <w:proofErr w:type="gramStart"/>
      <w:r w:rsidRPr="009C78D5">
        <w:rPr>
          <w:rFonts w:ascii="Times New Roman" w:eastAsia="Times New Roman" w:hAnsi="Times New Roman" w:cs="Times New Roman"/>
          <w:color w:val="000000" w:themeColor="text1"/>
          <w:sz w:val="24"/>
          <w:szCs w:val="24"/>
          <w:lang w:eastAsia="en-GB"/>
        </w:rPr>
        <w:t>has to</w:t>
      </w:r>
      <w:proofErr w:type="gramEnd"/>
      <w:r w:rsidRPr="009C78D5">
        <w:rPr>
          <w:rFonts w:ascii="Times New Roman" w:eastAsia="Times New Roman" w:hAnsi="Times New Roman" w:cs="Times New Roman"/>
          <w:color w:val="000000" w:themeColor="text1"/>
          <w:sz w:val="24"/>
          <w:szCs w:val="24"/>
          <w:lang w:eastAsia="en-GB"/>
        </w:rPr>
        <w:t xml:space="preserve"> do on their land, including under different metrics</w:t>
      </w:r>
      <w:r>
        <w:rPr>
          <w:rFonts w:ascii="Times New Roman" w:eastAsia="Times New Roman" w:hAnsi="Times New Roman" w:cs="Times New Roman"/>
          <w:color w:val="000000" w:themeColor="text1"/>
          <w:sz w:val="24"/>
          <w:szCs w:val="24"/>
          <w:lang w:eastAsia="en-GB"/>
        </w:rPr>
        <w:t xml:space="preserve">. </w:t>
      </w:r>
      <w:r w:rsidR="00AD33C8">
        <w:rPr>
          <w:rFonts w:ascii="Times New Roman" w:eastAsia="Times New Roman" w:hAnsi="Times New Roman" w:cs="Times New Roman"/>
          <w:color w:val="000000" w:themeColor="text1"/>
          <w:sz w:val="24"/>
          <w:szCs w:val="24"/>
          <w:lang w:eastAsia="en-GB"/>
        </w:rPr>
        <w:t xml:space="preserve">A crucial aspect of this is whether land needs to be protected in perpetuity or not. </w:t>
      </w:r>
      <w:r w:rsidR="00AD33C8" w:rsidRPr="00AD33C8">
        <w:rPr>
          <w:rFonts w:ascii="Times New Roman" w:eastAsia="Times New Roman" w:hAnsi="Times New Roman" w:cs="Times New Roman"/>
          <w:color w:val="000000" w:themeColor="text1"/>
          <w:sz w:val="24"/>
          <w:szCs w:val="24"/>
          <w:lang w:eastAsia="en-GB"/>
        </w:rPr>
        <w:t>Agricultural landowners, who are financially dependent on their land, are clearly unwilling to designate their land for biodiversity offsets in perpetuity. Without these designations though, NNL will not be achieved.</w:t>
      </w:r>
      <w:r w:rsidR="00C01A94">
        <w:rPr>
          <w:rFonts w:ascii="Times New Roman" w:eastAsia="Times New Roman" w:hAnsi="Times New Roman" w:cs="Times New Roman"/>
          <w:color w:val="000000" w:themeColor="text1"/>
          <w:sz w:val="24"/>
          <w:szCs w:val="24"/>
          <w:lang w:eastAsia="en-GB"/>
        </w:rPr>
        <w:t xml:space="preserve"> </w:t>
      </w:r>
      <w:r w:rsidR="00C01A94" w:rsidRPr="00462C0B">
        <w:rPr>
          <w:rFonts w:ascii="Times New Roman" w:eastAsia="Times New Roman" w:hAnsi="Times New Roman" w:cs="Times New Roman"/>
          <w:color w:val="000000" w:themeColor="text1"/>
          <w:sz w:val="24"/>
          <w:szCs w:val="24"/>
          <w:lang w:eastAsia="en-GB"/>
        </w:rPr>
        <w:t xml:space="preserve">Whilst evidence suggests this in part likely to be financial, other socio-economic reasons could be explored, </w:t>
      </w:r>
      <w:proofErr w:type="gramStart"/>
      <w:r w:rsidR="00C01A94" w:rsidRPr="00462C0B">
        <w:rPr>
          <w:rFonts w:ascii="Times New Roman" w:eastAsia="Times New Roman" w:hAnsi="Times New Roman" w:cs="Times New Roman"/>
          <w:color w:val="000000" w:themeColor="text1"/>
          <w:sz w:val="24"/>
          <w:szCs w:val="24"/>
          <w:lang w:eastAsia="en-GB"/>
        </w:rPr>
        <w:t>similar to</w:t>
      </w:r>
      <w:proofErr w:type="gramEnd"/>
      <w:r w:rsidR="00C01A94" w:rsidRPr="00462C0B">
        <w:rPr>
          <w:rFonts w:ascii="Times New Roman" w:eastAsia="Times New Roman" w:hAnsi="Times New Roman" w:cs="Times New Roman"/>
          <w:color w:val="000000" w:themeColor="text1"/>
          <w:sz w:val="24"/>
          <w:szCs w:val="24"/>
          <w:lang w:eastAsia="en-GB"/>
        </w:rPr>
        <w:t xml:space="preserve"> the studies undertaken in Australia (e.g. </w:t>
      </w:r>
      <w:proofErr w:type="spellStart"/>
      <w:r w:rsidR="00C01A94" w:rsidRPr="00462C0B">
        <w:rPr>
          <w:rFonts w:ascii="Times New Roman" w:eastAsia="Times New Roman" w:hAnsi="Times New Roman" w:cs="Times New Roman"/>
          <w:color w:val="000000" w:themeColor="text1"/>
          <w:sz w:val="24"/>
          <w:szCs w:val="24"/>
          <w:lang w:eastAsia="en-GB"/>
        </w:rPr>
        <w:t>Selinske</w:t>
      </w:r>
      <w:proofErr w:type="spellEnd"/>
      <w:r w:rsidR="00C01A94" w:rsidRPr="00462C0B">
        <w:rPr>
          <w:rFonts w:ascii="Times New Roman" w:eastAsia="Times New Roman" w:hAnsi="Times New Roman" w:cs="Times New Roman"/>
          <w:color w:val="000000" w:themeColor="text1"/>
          <w:sz w:val="24"/>
          <w:szCs w:val="24"/>
          <w:lang w:eastAsia="en-GB"/>
        </w:rPr>
        <w:t xml:space="preserve"> </w:t>
      </w:r>
      <w:r w:rsidR="00C01A94" w:rsidRPr="00462C0B">
        <w:rPr>
          <w:rFonts w:ascii="Times New Roman" w:eastAsia="Times New Roman" w:hAnsi="Times New Roman" w:cs="Times New Roman"/>
          <w:i/>
          <w:iCs/>
          <w:color w:val="000000" w:themeColor="text1"/>
          <w:sz w:val="24"/>
          <w:szCs w:val="24"/>
          <w:lang w:eastAsia="en-GB"/>
        </w:rPr>
        <w:t>et al.</w:t>
      </w:r>
      <w:r w:rsidR="00C01A94" w:rsidRPr="00462C0B">
        <w:rPr>
          <w:rFonts w:ascii="Times New Roman" w:eastAsia="Times New Roman" w:hAnsi="Times New Roman" w:cs="Times New Roman"/>
          <w:color w:val="000000" w:themeColor="text1"/>
          <w:sz w:val="24"/>
          <w:szCs w:val="24"/>
          <w:lang w:eastAsia="en-GB"/>
        </w:rPr>
        <w:t xml:space="preserve"> 2017</w:t>
      </w:r>
      <w:r w:rsidR="00C01A94">
        <w:rPr>
          <w:rFonts w:ascii="Times New Roman" w:eastAsia="Times New Roman" w:hAnsi="Times New Roman" w:cs="Times New Roman"/>
          <w:color w:val="000000" w:themeColor="text1"/>
          <w:sz w:val="24"/>
          <w:szCs w:val="24"/>
          <w:lang w:eastAsia="en-GB"/>
        </w:rPr>
        <w:t xml:space="preserve"> and </w:t>
      </w:r>
      <w:proofErr w:type="spellStart"/>
      <w:r w:rsidR="00CE49FB" w:rsidRPr="00CE49FB">
        <w:rPr>
          <w:rFonts w:ascii="Times New Roman" w:eastAsia="Times New Roman" w:hAnsi="Times New Roman" w:cs="Times New Roman"/>
          <w:color w:val="000000" w:themeColor="text1"/>
          <w:sz w:val="24"/>
          <w:szCs w:val="24"/>
          <w:lang w:eastAsia="en-GB"/>
        </w:rPr>
        <w:t>Ruoso</w:t>
      </w:r>
      <w:proofErr w:type="spellEnd"/>
      <w:r w:rsidR="00CE49FB">
        <w:rPr>
          <w:rFonts w:ascii="Times New Roman" w:eastAsia="Times New Roman" w:hAnsi="Times New Roman" w:cs="Times New Roman"/>
          <w:color w:val="000000" w:themeColor="text1"/>
          <w:sz w:val="24"/>
          <w:szCs w:val="24"/>
          <w:lang w:eastAsia="en-GB"/>
        </w:rPr>
        <w:t xml:space="preserve"> and</w:t>
      </w:r>
      <w:r w:rsidR="00CE49FB" w:rsidRPr="00CE49FB">
        <w:rPr>
          <w:rFonts w:ascii="Times New Roman" w:eastAsia="Times New Roman" w:hAnsi="Times New Roman" w:cs="Times New Roman"/>
          <w:color w:val="000000" w:themeColor="text1"/>
          <w:sz w:val="24"/>
          <w:szCs w:val="24"/>
          <w:lang w:eastAsia="en-GB"/>
        </w:rPr>
        <w:t xml:space="preserve"> Plant</w:t>
      </w:r>
      <w:r w:rsidR="00CE49FB">
        <w:rPr>
          <w:rFonts w:ascii="Times New Roman" w:eastAsia="Times New Roman" w:hAnsi="Times New Roman" w:cs="Times New Roman"/>
          <w:color w:val="000000" w:themeColor="text1"/>
          <w:sz w:val="24"/>
          <w:szCs w:val="24"/>
          <w:lang w:eastAsia="en-GB"/>
        </w:rPr>
        <w:t xml:space="preserve"> </w:t>
      </w:r>
      <w:r w:rsidR="00CE49FB" w:rsidRPr="00CE49FB">
        <w:rPr>
          <w:rFonts w:ascii="Times New Roman" w:eastAsia="Times New Roman" w:hAnsi="Times New Roman" w:cs="Times New Roman"/>
          <w:color w:val="000000" w:themeColor="text1"/>
          <w:sz w:val="24"/>
          <w:szCs w:val="24"/>
          <w:lang w:eastAsia="en-GB"/>
        </w:rPr>
        <w:t>(2021</w:t>
      </w:r>
      <w:r w:rsidR="00CE49FB">
        <w:rPr>
          <w:rFonts w:ascii="Times New Roman" w:eastAsia="Times New Roman" w:hAnsi="Times New Roman" w:cs="Times New Roman"/>
          <w:color w:val="000000" w:themeColor="text1"/>
          <w:sz w:val="24"/>
          <w:szCs w:val="24"/>
          <w:lang w:eastAsia="en-GB"/>
        </w:rPr>
        <w:t xml:space="preserve">). </w:t>
      </w:r>
      <w:r w:rsidR="00C01A94">
        <w:rPr>
          <w:rFonts w:ascii="Times New Roman" w:eastAsia="Times New Roman" w:hAnsi="Times New Roman" w:cs="Times New Roman"/>
          <w:color w:val="000000" w:themeColor="text1"/>
          <w:sz w:val="24"/>
          <w:szCs w:val="24"/>
          <w:lang w:eastAsia="en-GB"/>
        </w:rPr>
        <w:t xml:space="preserve"> </w:t>
      </w:r>
      <w:r w:rsidR="00564463" w:rsidRPr="00462C0B">
        <w:rPr>
          <w:rFonts w:ascii="Times New Roman" w:eastAsia="Times New Roman" w:hAnsi="Times New Roman" w:cs="Times New Roman"/>
          <w:color w:val="000000" w:themeColor="text1"/>
          <w:sz w:val="24"/>
          <w:szCs w:val="24"/>
          <w:lang w:eastAsia="en-GB"/>
        </w:rPr>
        <w:t xml:space="preserve">What is not clear from the literature is the role of landowners </w:t>
      </w:r>
      <w:r w:rsidR="00F935F4" w:rsidRPr="00462C0B">
        <w:rPr>
          <w:rFonts w:ascii="Times New Roman" w:eastAsia="Times New Roman" w:hAnsi="Times New Roman" w:cs="Times New Roman"/>
          <w:color w:val="000000" w:themeColor="text1"/>
          <w:sz w:val="24"/>
          <w:szCs w:val="24"/>
          <w:lang w:eastAsia="en-GB"/>
        </w:rPr>
        <w:t xml:space="preserve">who own large swathes of English and Scottish countryside (e.g. National Trust, Wildlife Trust and private estate owners) </w:t>
      </w:r>
      <w:r w:rsidR="006B6D9C" w:rsidRPr="00462C0B">
        <w:rPr>
          <w:rFonts w:ascii="Times New Roman" w:eastAsia="Times New Roman" w:hAnsi="Times New Roman" w:cs="Times New Roman"/>
          <w:color w:val="000000" w:themeColor="text1"/>
          <w:sz w:val="24"/>
          <w:szCs w:val="24"/>
          <w:lang w:eastAsia="en-GB"/>
        </w:rPr>
        <w:t xml:space="preserve">and their participation in the offset market. </w:t>
      </w:r>
      <w:r w:rsidR="00FD464C" w:rsidRPr="00462C0B">
        <w:rPr>
          <w:rFonts w:ascii="Times New Roman" w:eastAsia="Times New Roman" w:hAnsi="Times New Roman" w:cs="Times New Roman"/>
          <w:color w:val="000000" w:themeColor="text1"/>
          <w:sz w:val="24"/>
          <w:szCs w:val="24"/>
          <w:lang w:eastAsia="en-GB"/>
        </w:rPr>
        <w:t xml:space="preserve">There is potential that these groups would be more </w:t>
      </w:r>
      <w:r w:rsidR="00FD464C" w:rsidRPr="00462C0B">
        <w:rPr>
          <w:rFonts w:ascii="Times New Roman" w:eastAsia="Times New Roman" w:hAnsi="Times New Roman" w:cs="Times New Roman"/>
          <w:color w:val="000000" w:themeColor="text1"/>
          <w:sz w:val="24"/>
          <w:szCs w:val="24"/>
          <w:lang w:eastAsia="en-GB"/>
        </w:rPr>
        <w:lastRenderedPageBreak/>
        <w:t>likely to offer permanent protection on their lands through the correct financial incentives (in the style of conservation easements in the USA and Australia)</w:t>
      </w:r>
      <w:r w:rsidR="00FF28FC" w:rsidRPr="00462C0B">
        <w:rPr>
          <w:rFonts w:ascii="Times New Roman" w:eastAsia="Times New Roman" w:hAnsi="Times New Roman" w:cs="Times New Roman"/>
          <w:color w:val="000000" w:themeColor="text1"/>
          <w:sz w:val="24"/>
          <w:szCs w:val="24"/>
          <w:lang w:eastAsia="en-GB"/>
        </w:rPr>
        <w:t xml:space="preserve">. However, there is then concerns as to whether the gains in biodiversity in these areas would be considered additional and truly count as biodiversity net gain. </w:t>
      </w:r>
    </w:p>
    <w:p w14:paraId="22B0603C" w14:textId="46BDD4F6" w:rsidR="005C4071" w:rsidRDefault="00B003B2" w:rsidP="00AC1F52">
      <w:pPr>
        <w:spacing w:line="36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A </w:t>
      </w:r>
      <w:r w:rsidR="0045150B">
        <w:rPr>
          <w:rFonts w:ascii="Times New Roman" w:eastAsia="Times New Roman" w:hAnsi="Times New Roman" w:cs="Times New Roman"/>
          <w:color w:val="000000" w:themeColor="text1"/>
          <w:sz w:val="24"/>
          <w:szCs w:val="24"/>
          <w:lang w:eastAsia="en-GB"/>
        </w:rPr>
        <w:t>further consideration</w:t>
      </w:r>
      <w:r>
        <w:rPr>
          <w:rFonts w:ascii="Times New Roman" w:eastAsia="Times New Roman" w:hAnsi="Times New Roman" w:cs="Times New Roman"/>
          <w:color w:val="000000" w:themeColor="text1"/>
          <w:sz w:val="24"/>
          <w:szCs w:val="24"/>
          <w:lang w:eastAsia="en-GB"/>
        </w:rPr>
        <w:t xml:space="preserve"> is the timescales </w:t>
      </w:r>
      <w:r w:rsidR="0045150B">
        <w:rPr>
          <w:rFonts w:ascii="Times New Roman" w:eastAsia="Times New Roman" w:hAnsi="Times New Roman" w:cs="Times New Roman"/>
          <w:color w:val="000000" w:themeColor="text1"/>
          <w:sz w:val="24"/>
          <w:szCs w:val="24"/>
          <w:lang w:eastAsia="en-GB"/>
        </w:rPr>
        <w:t>under which institutions operate.</w:t>
      </w:r>
      <w:r w:rsidR="006727FE">
        <w:rPr>
          <w:rFonts w:ascii="Times New Roman" w:eastAsia="Times New Roman" w:hAnsi="Times New Roman" w:cs="Times New Roman"/>
          <w:color w:val="000000" w:themeColor="text1"/>
          <w:sz w:val="24"/>
          <w:szCs w:val="24"/>
          <w:lang w:eastAsia="en-GB"/>
        </w:rPr>
        <w:t xml:space="preserve"> </w:t>
      </w:r>
      <w:r w:rsidR="0045150B">
        <w:rPr>
          <w:rFonts w:ascii="Times New Roman" w:eastAsia="Times New Roman" w:hAnsi="Times New Roman" w:cs="Times New Roman"/>
          <w:color w:val="000000" w:themeColor="text1"/>
          <w:sz w:val="24"/>
          <w:szCs w:val="24"/>
          <w:lang w:eastAsia="en-GB"/>
        </w:rPr>
        <w:t xml:space="preserve"> </w:t>
      </w:r>
      <w:r w:rsidR="006727FE" w:rsidRPr="006727FE">
        <w:rPr>
          <w:rFonts w:ascii="Times New Roman" w:eastAsia="Times New Roman" w:hAnsi="Times New Roman" w:cs="Times New Roman"/>
          <w:color w:val="000000" w:themeColor="text1"/>
          <w:sz w:val="24"/>
          <w:szCs w:val="24"/>
          <w:lang w:eastAsia="en-GB"/>
        </w:rPr>
        <w:t>Best practice guidelines and leading offset policies, from the US, Australia, and within Europe</w:t>
      </w:r>
      <w:r w:rsidR="006727FE">
        <w:rPr>
          <w:rFonts w:ascii="Times New Roman" w:eastAsia="Times New Roman" w:hAnsi="Times New Roman" w:cs="Times New Roman"/>
          <w:color w:val="000000" w:themeColor="text1"/>
          <w:sz w:val="24"/>
          <w:szCs w:val="24"/>
          <w:lang w:eastAsia="en-GB"/>
        </w:rPr>
        <w:t xml:space="preserve"> operate on </w:t>
      </w:r>
      <w:r w:rsidR="00626DD5">
        <w:rPr>
          <w:rFonts w:ascii="Times New Roman" w:eastAsia="Times New Roman" w:hAnsi="Times New Roman" w:cs="Times New Roman"/>
          <w:color w:val="000000" w:themeColor="text1"/>
          <w:sz w:val="24"/>
          <w:szCs w:val="24"/>
          <w:lang w:eastAsia="en-GB"/>
        </w:rPr>
        <w:t xml:space="preserve">time spans of 50 years maximum, aligning with policy cycles and lifetimes of development projects, rather than ecological lifecycles associated with restoration outcomes </w:t>
      </w:r>
      <w:r w:rsidR="00104C71">
        <w:rPr>
          <w:rFonts w:ascii="Times New Roman" w:eastAsia="Times New Roman" w:hAnsi="Times New Roman" w:cs="Times New Roman"/>
          <w:color w:val="000000" w:themeColor="text1"/>
          <w:sz w:val="24"/>
          <w:szCs w:val="24"/>
          <w:lang w:eastAsia="en-GB"/>
        </w:rPr>
        <w:t xml:space="preserve">(Damiens </w:t>
      </w:r>
      <w:r w:rsidR="00104C71">
        <w:rPr>
          <w:rFonts w:ascii="Times New Roman" w:eastAsia="Times New Roman" w:hAnsi="Times New Roman" w:cs="Times New Roman"/>
          <w:i/>
          <w:iCs/>
          <w:color w:val="000000" w:themeColor="text1"/>
          <w:sz w:val="24"/>
          <w:szCs w:val="24"/>
          <w:lang w:eastAsia="en-GB"/>
        </w:rPr>
        <w:t>et al.</w:t>
      </w:r>
      <w:r w:rsidR="00104C71">
        <w:rPr>
          <w:rFonts w:ascii="Times New Roman" w:eastAsia="Times New Roman" w:hAnsi="Times New Roman" w:cs="Times New Roman"/>
          <w:color w:val="000000" w:themeColor="text1"/>
          <w:sz w:val="24"/>
          <w:szCs w:val="24"/>
          <w:lang w:eastAsia="en-GB"/>
        </w:rPr>
        <w:t xml:space="preserve"> 2021). Within this</w:t>
      </w:r>
      <w:r w:rsidR="009E3ECF">
        <w:rPr>
          <w:rFonts w:ascii="Times New Roman" w:eastAsia="Times New Roman" w:hAnsi="Times New Roman" w:cs="Times New Roman"/>
          <w:color w:val="000000" w:themeColor="text1"/>
          <w:sz w:val="24"/>
          <w:szCs w:val="24"/>
          <w:lang w:eastAsia="en-GB"/>
        </w:rPr>
        <w:t xml:space="preserve">, there are multiple policy changes within each countries offset schemes. For example, there have been </w:t>
      </w:r>
      <w:r w:rsidR="00E12EC6">
        <w:rPr>
          <w:rFonts w:ascii="Times New Roman" w:eastAsia="Times New Roman" w:hAnsi="Times New Roman" w:cs="Times New Roman"/>
          <w:color w:val="000000" w:themeColor="text1"/>
          <w:sz w:val="24"/>
          <w:szCs w:val="24"/>
          <w:lang w:eastAsia="en-GB"/>
        </w:rPr>
        <w:t xml:space="preserve">three Defra Biodiversity Metrics published between 2012 – 2021 with additional sub-revisions. </w:t>
      </w:r>
      <w:r w:rsidR="00AC1F52">
        <w:rPr>
          <w:rFonts w:ascii="Times New Roman" w:eastAsia="Times New Roman" w:hAnsi="Times New Roman" w:cs="Times New Roman"/>
          <w:color w:val="000000" w:themeColor="text1"/>
          <w:sz w:val="24"/>
          <w:szCs w:val="24"/>
          <w:lang w:eastAsia="en-GB"/>
        </w:rPr>
        <w:t>Landowners</w:t>
      </w:r>
      <w:r w:rsidR="00684B9D">
        <w:rPr>
          <w:rFonts w:ascii="Times New Roman" w:eastAsia="Times New Roman" w:hAnsi="Times New Roman" w:cs="Times New Roman"/>
          <w:color w:val="000000" w:themeColor="text1"/>
          <w:sz w:val="24"/>
          <w:szCs w:val="24"/>
          <w:lang w:eastAsia="en-GB"/>
        </w:rPr>
        <w:t xml:space="preserve"> without significant resources in terms of formal and informal social networks may struggle to access </w:t>
      </w:r>
      <w:r w:rsidR="005947CF">
        <w:rPr>
          <w:rFonts w:ascii="Times New Roman" w:eastAsia="Times New Roman" w:hAnsi="Times New Roman" w:cs="Times New Roman"/>
          <w:color w:val="000000" w:themeColor="text1"/>
          <w:sz w:val="24"/>
          <w:szCs w:val="24"/>
          <w:lang w:eastAsia="en-GB"/>
        </w:rPr>
        <w:t xml:space="preserve">the information relating to these changes and how it alters what counts as a biodiversity credit for them to sell. This may discourage them from participating in schemes. Furthermore, in the UK, </w:t>
      </w:r>
      <w:r w:rsidR="005C4071">
        <w:rPr>
          <w:rFonts w:ascii="Times New Roman" w:eastAsia="Times New Roman" w:hAnsi="Times New Roman" w:cs="Times New Roman"/>
          <w:color w:val="000000" w:themeColor="text1"/>
          <w:sz w:val="24"/>
          <w:szCs w:val="24"/>
          <w:lang w:eastAsia="en-GB"/>
        </w:rPr>
        <w:t>agricultural landowners have differing options regarding payments for conservation actions</w:t>
      </w:r>
      <w:r w:rsidR="0035325B">
        <w:rPr>
          <w:rFonts w:ascii="Times New Roman" w:eastAsia="Times New Roman" w:hAnsi="Times New Roman" w:cs="Times New Roman"/>
          <w:color w:val="000000" w:themeColor="text1"/>
          <w:sz w:val="24"/>
          <w:szCs w:val="24"/>
          <w:lang w:eastAsia="en-GB"/>
        </w:rPr>
        <w:t>, the opportunity to sell biodiversity offset credits</w:t>
      </w:r>
      <w:r w:rsidR="00AC1F52">
        <w:rPr>
          <w:rFonts w:ascii="Times New Roman" w:eastAsia="Times New Roman" w:hAnsi="Times New Roman" w:cs="Times New Roman"/>
          <w:color w:val="000000" w:themeColor="text1"/>
          <w:sz w:val="24"/>
          <w:szCs w:val="24"/>
          <w:lang w:eastAsia="en-GB"/>
        </w:rPr>
        <w:t xml:space="preserve"> privately</w:t>
      </w:r>
      <w:r w:rsidR="0035325B">
        <w:rPr>
          <w:rFonts w:ascii="Times New Roman" w:eastAsia="Times New Roman" w:hAnsi="Times New Roman" w:cs="Times New Roman"/>
          <w:color w:val="000000" w:themeColor="text1"/>
          <w:sz w:val="24"/>
          <w:szCs w:val="24"/>
          <w:lang w:eastAsia="en-GB"/>
        </w:rPr>
        <w:t xml:space="preserve"> under biodiversity net gain </w:t>
      </w:r>
      <w:proofErr w:type="gramStart"/>
      <w:r w:rsidR="0035325B">
        <w:rPr>
          <w:rFonts w:ascii="Times New Roman" w:eastAsia="Times New Roman" w:hAnsi="Times New Roman" w:cs="Times New Roman"/>
          <w:color w:val="000000" w:themeColor="text1"/>
          <w:sz w:val="24"/>
          <w:szCs w:val="24"/>
          <w:lang w:eastAsia="en-GB"/>
        </w:rPr>
        <w:t>and also</w:t>
      </w:r>
      <w:proofErr w:type="gramEnd"/>
      <w:r w:rsidR="0035325B">
        <w:rPr>
          <w:rFonts w:ascii="Times New Roman" w:eastAsia="Times New Roman" w:hAnsi="Times New Roman" w:cs="Times New Roman"/>
          <w:color w:val="000000" w:themeColor="text1"/>
          <w:sz w:val="24"/>
          <w:szCs w:val="24"/>
          <w:lang w:eastAsia="en-GB"/>
        </w:rPr>
        <w:t xml:space="preserve"> </w:t>
      </w:r>
      <w:r w:rsidR="00AC1F52">
        <w:rPr>
          <w:rFonts w:ascii="Times New Roman" w:eastAsia="Times New Roman" w:hAnsi="Times New Roman" w:cs="Times New Roman"/>
          <w:color w:val="000000" w:themeColor="text1"/>
          <w:sz w:val="24"/>
          <w:szCs w:val="24"/>
          <w:lang w:eastAsia="en-GB"/>
        </w:rPr>
        <w:t xml:space="preserve">receive government </w:t>
      </w:r>
      <w:r w:rsidR="009A75E8">
        <w:rPr>
          <w:rFonts w:ascii="Times New Roman" w:eastAsia="Times New Roman" w:hAnsi="Times New Roman" w:cs="Times New Roman"/>
          <w:color w:val="000000" w:themeColor="text1"/>
          <w:sz w:val="24"/>
          <w:szCs w:val="24"/>
          <w:lang w:eastAsia="en-GB"/>
        </w:rPr>
        <w:t xml:space="preserve">subsidies </w:t>
      </w:r>
      <w:r w:rsidR="00AC1F52">
        <w:rPr>
          <w:rFonts w:ascii="Times New Roman" w:eastAsia="Times New Roman" w:hAnsi="Times New Roman" w:cs="Times New Roman"/>
          <w:color w:val="000000" w:themeColor="text1"/>
          <w:sz w:val="24"/>
          <w:szCs w:val="24"/>
          <w:lang w:eastAsia="en-GB"/>
        </w:rPr>
        <w:t xml:space="preserve">for conservations actions under </w:t>
      </w:r>
      <w:r w:rsidR="0035325B">
        <w:rPr>
          <w:rFonts w:ascii="Times New Roman" w:eastAsia="Times New Roman" w:hAnsi="Times New Roman" w:cs="Times New Roman"/>
          <w:color w:val="000000" w:themeColor="text1"/>
          <w:sz w:val="24"/>
          <w:szCs w:val="24"/>
          <w:lang w:eastAsia="en-GB"/>
        </w:rPr>
        <w:t xml:space="preserve">the new Environmental Land Management scheme. </w:t>
      </w:r>
      <w:r w:rsidR="00AC1F52">
        <w:rPr>
          <w:rFonts w:ascii="Times New Roman" w:eastAsia="Times New Roman" w:hAnsi="Times New Roman" w:cs="Times New Roman"/>
          <w:color w:val="000000" w:themeColor="text1"/>
          <w:sz w:val="24"/>
          <w:szCs w:val="24"/>
          <w:lang w:eastAsia="en-GB"/>
        </w:rPr>
        <w:t xml:space="preserve">There are key questions arising as to how these policies will interact: </w:t>
      </w:r>
      <w:r w:rsidR="005C4071" w:rsidRPr="005C4071">
        <w:rPr>
          <w:rFonts w:ascii="Times New Roman" w:eastAsia="Times New Roman" w:hAnsi="Times New Roman" w:cs="Times New Roman"/>
          <w:color w:val="000000" w:themeColor="text1"/>
          <w:sz w:val="24"/>
          <w:szCs w:val="24"/>
          <w:lang w:eastAsia="en-GB"/>
        </w:rPr>
        <w:t xml:space="preserve">will public finance crowd out or complement private investment, and how will this vary spatially across the country? </w:t>
      </w:r>
      <w:r w:rsidR="00DD38DB">
        <w:rPr>
          <w:rFonts w:ascii="Times New Roman" w:eastAsia="Times New Roman" w:hAnsi="Times New Roman" w:cs="Times New Roman"/>
          <w:color w:val="000000" w:themeColor="text1"/>
          <w:sz w:val="24"/>
          <w:szCs w:val="24"/>
          <w:lang w:eastAsia="en-GB"/>
        </w:rPr>
        <w:t>This is an emerging area for new research.</w:t>
      </w:r>
    </w:p>
    <w:p w14:paraId="25A7C7E3" w14:textId="03090F4C" w:rsidR="00DD38DB" w:rsidRDefault="00DD38DB" w:rsidP="00654B65">
      <w:pPr>
        <w:spacing w:line="36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A final consideration </w:t>
      </w:r>
      <w:r w:rsidR="006A3488">
        <w:rPr>
          <w:rFonts w:ascii="Times New Roman" w:eastAsia="Times New Roman" w:hAnsi="Times New Roman" w:cs="Times New Roman"/>
          <w:color w:val="000000" w:themeColor="text1"/>
          <w:sz w:val="24"/>
          <w:szCs w:val="24"/>
          <w:lang w:eastAsia="en-GB"/>
        </w:rPr>
        <w:t xml:space="preserve">is </w:t>
      </w:r>
      <w:r w:rsidR="00B76D04">
        <w:rPr>
          <w:rFonts w:ascii="Times New Roman" w:eastAsia="Times New Roman" w:hAnsi="Times New Roman" w:cs="Times New Roman"/>
          <w:color w:val="000000" w:themeColor="text1"/>
          <w:sz w:val="24"/>
          <w:szCs w:val="24"/>
          <w:lang w:eastAsia="en-GB"/>
        </w:rPr>
        <w:t>whether</w:t>
      </w:r>
      <w:r w:rsidR="00EF7731">
        <w:rPr>
          <w:rFonts w:ascii="Times New Roman" w:eastAsia="Times New Roman" w:hAnsi="Times New Roman" w:cs="Times New Roman"/>
          <w:color w:val="000000" w:themeColor="text1"/>
          <w:sz w:val="24"/>
          <w:szCs w:val="24"/>
          <w:lang w:eastAsia="en-GB"/>
        </w:rPr>
        <w:t xml:space="preserve"> offset policies are truly meeting the aim of </w:t>
      </w:r>
      <w:r w:rsidR="00EF7731" w:rsidRPr="00EF7731">
        <w:rPr>
          <w:rFonts w:ascii="Times New Roman" w:eastAsia="Times New Roman" w:hAnsi="Times New Roman" w:cs="Times New Roman"/>
          <w:color w:val="000000" w:themeColor="text1"/>
          <w:sz w:val="24"/>
          <w:szCs w:val="24"/>
          <w:lang w:eastAsia="en-GB"/>
        </w:rPr>
        <w:t>disincentivis</w:t>
      </w:r>
      <w:r w:rsidR="00EF7731">
        <w:rPr>
          <w:rFonts w:ascii="Times New Roman" w:eastAsia="Times New Roman" w:hAnsi="Times New Roman" w:cs="Times New Roman"/>
          <w:color w:val="000000" w:themeColor="text1"/>
          <w:sz w:val="24"/>
          <w:szCs w:val="24"/>
          <w:lang w:eastAsia="en-GB"/>
        </w:rPr>
        <w:t>ing</w:t>
      </w:r>
      <w:r w:rsidR="00EF7731" w:rsidRPr="00EF7731">
        <w:rPr>
          <w:rFonts w:ascii="Times New Roman" w:eastAsia="Times New Roman" w:hAnsi="Times New Roman" w:cs="Times New Roman"/>
          <w:color w:val="000000" w:themeColor="text1"/>
          <w:sz w:val="24"/>
          <w:szCs w:val="24"/>
          <w:lang w:eastAsia="en-GB"/>
        </w:rPr>
        <w:t xml:space="preserve"> </w:t>
      </w:r>
      <w:r w:rsidR="00EF7731">
        <w:rPr>
          <w:rFonts w:ascii="Times New Roman" w:eastAsia="Times New Roman" w:hAnsi="Times New Roman" w:cs="Times New Roman"/>
          <w:color w:val="000000" w:themeColor="text1"/>
          <w:sz w:val="24"/>
          <w:szCs w:val="24"/>
          <w:lang w:eastAsia="en-GB"/>
        </w:rPr>
        <w:t xml:space="preserve">development </w:t>
      </w:r>
      <w:r w:rsidR="00EF7731" w:rsidRPr="00EF7731">
        <w:rPr>
          <w:rFonts w:ascii="Times New Roman" w:eastAsia="Times New Roman" w:hAnsi="Times New Roman" w:cs="Times New Roman"/>
          <w:color w:val="000000" w:themeColor="text1"/>
          <w:sz w:val="24"/>
          <w:szCs w:val="24"/>
          <w:lang w:eastAsia="en-GB"/>
        </w:rPr>
        <w:t>impacts</w:t>
      </w:r>
      <w:r w:rsidR="00CF0A44">
        <w:rPr>
          <w:rFonts w:ascii="Times New Roman" w:eastAsia="Times New Roman" w:hAnsi="Times New Roman" w:cs="Times New Roman"/>
          <w:color w:val="000000" w:themeColor="text1"/>
          <w:sz w:val="24"/>
          <w:szCs w:val="24"/>
          <w:lang w:eastAsia="en-GB"/>
        </w:rPr>
        <w:t xml:space="preserve"> where the negative impacts on biodiversity would be highest,</w:t>
      </w:r>
      <w:r w:rsidR="00EF7731" w:rsidRPr="00EF7731">
        <w:rPr>
          <w:rFonts w:ascii="Times New Roman" w:eastAsia="Times New Roman" w:hAnsi="Times New Roman" w:cs="Times New Roman"/>
          <w:color w:val="000000" w:themeColor="text1"/>
          <w:sz w:val="24"/>
          <w:szCs w:val="24"/>
          <w:lang w:eastAsia="en-GB"/>
        </w:rPr>
        <w:t xml:space="preserve"> and drive greater avoidance</w:t>
      </w:r>
      <w:r w:rsidR="00760D5A">
        <w:rPr>
          <w:rFonts w:ascii="Times New Roman" w:eastAsia="Times New Roman" w:hAnsi="Times New Roman" w:cs="Times New Roman"/>
          <w:color w:val="000000" w:themeColor="text1"/>
          <w:sz w:val="24"/>
          <w:szCs w:val="24"/>
          <w:lang w:eastAsia="en-GB"/>
        </w:rPr>
        <w:t xml:space="preserve">? If this were the case, then </w:t>
      </w:r>
      <w:r w:rsidR="00421C55">
        <w:rPr>
          <w:rFonts w:ascii="Times New Roman" w:eastAsia="Times New Roman" w:hAnsi="Times New Roman" w:cs="Times New Roman"/>
          <w:color w:val="000000" w:themeColor="text1"/>
          <w:sz w:val="24"/>
          <w:szCs w:val="24"/>
          <w:lang w:eastAsia="en-GB"/>
        </w:rPr>
        <w:t xml:space="preserve">there would be less of a need for offset banks to be created, therefore the role of landowners supplying credits would be low. </w:t>
      </w:r>
      <w:r w:rsidR="00654B65">
        <w:rPr>
          <w:rFonts w:ascii="Times New Roman" w:eastAsia="Times New Roman" w:hAnsi="Times New Roman" w:cs="Times New Roman"/>
          <w:color w:val="000000" w:themeColor="text1"/>
          <w:sz w:val="24"/>
          <w:szCs w:val="24"/>
          <w:lang w:eastAsia="en-GB"/>
        </w:rPr>
        <w:t xml:space="preserve">The question is no longer </w:t>
      </w:r>
      <w:r w:rsidR="00654B65" w:rsidRPr="009C78D5">
        <w:rPr>
          <w:rFonts w:ascii="Times New Roman" w:eastAsia="Times New Roman" w:hAnsi="Times New Roman" w:cs="Times New Roman"/>
          <w:color w:val="000000" w:themeColor="text1"/>
          <w:sz w:val="24"/>
          <w:szCs w:val="24"/>
          <w:lang w:eastAsia="en-GB"/>
        </w:rPr>
        <w:t xml:space="preserve">about landowner decisions to participate and more about the fact that the policy is successfully driving impacts into low </w:t>
      </w:r>
      <w:r w:rsidR="009B32E7">
        <w:rPr>
          <w:rFonts w:ascii="Times New Roman" w:eastAsia="Times New Roman" w:hAnsi="Times New Roman" w:cs="Times New Roman"/>
          <w:color w:val="000000" w:themeColor="text1"/>
          <w:sz w:val="24"/>
          <w:szCs w:val="24"/>
          <w:lang w:eastAsia="en-GB"/>
        </w:rPr>
        <w:t xml:space="preserve">ecological </w:t>
      </w:r>
      <w:r w:rsidR="00654B65" w:rsidRPr="009C78D5">
        <w:rPr>
          <w:rFonts w:ascii="Times New Roman" w:eastAsia="Times New Roman" w:hAnsi="Times New Roman" w:cs="Times New Roman"/>
          <w:color w:val="000000" w:themeColor="text1"/>
          <w:sz w:val="24"/>
          <w:szCs w:val="24"/>
          <w:lang w:eastAsia="en-GB"/>
        </w:rPr>
        <w:t>value habitats</w:t>
      </w:r>
      <w:r w:rsidR="00654B65">
        <w:rPr>
          <w:rFonts w:ascii="Times New Roman" w:eastAsia="Times New Roman" w:hAnsi="Times New Roman" w:cs="Times New Roman"/>
          <w:color w:val="000000" w:themeColor="text1"/>
          <w:sz w:val="24"/>
          <w:szCs w:val="24"/>
          <w:lang w:eastAsia="en-GB"/>
        </w:rPr>
        <w:t xml:space="preserve">. </w:t>
      </w:r>
      <w:r w:rsidR="00421C55">
        <w:rPr>
          <w:rFonts w:ascii="Times New Roman" w:eastAsia="Times New Roman" w:hAnsi="Times New Roman" w:cs="Times New Roman"/>
          <w:color w:val="000000" w:themeColor="text1"/>
          <w:sz w:val="24"/>
          <w:szCs w:val="24"/>
          <w:lang w:eastAsia="en-GB"/>
        </w:rPr>
        <w:t>However, t</w:t>
      </w:r>
      <w:r w:rsidR="00760D5A">
        <w:rPr>
          <w:rFonts w:ascii="Times New Roman" w:eastAsia="Times New Roman" w:hAnsi="Times New Roman" w:cs="Times New Roman"/>
          <w:color w:val="000000" w:themeColor="text1"/>
          <w:sz w:val="24"/>
          <w:szCs w:val="24"/>
          <w:lang w:eastAsia="en-GB"/>
        </w:rPr>
        <w:t xml:space="preserve">here is a lack of research papers that explicitly consider this question. </w:t>
      </w:r>
    </w:p>
    <w:p w14:paraId="5BB198C1" w14:textId="3D20C72B" w:rsidR="00654B65" w:rsidRDefault="00654B65">
      <w:pPr>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br w:type="page"/>
      </w:r>
    </w:p>
    <w:p w14:paraId="22DD9165" w14:textId="1A04E917" w:rsidR="00EF29DA" w:rsidRPr="00654B65" w:rsidRDefault="00654B65" w:rsidP="001658EA">
      <w:pPr>
        <w:pStyle w:val="Heading2"/>
        <w:spacing w:line="360" w:lineRule="auto"/>
        <w:rPr>
          <w:color w:val="000000" w:themeColor="text1"/>
        </w:rPr>
      </w:pPr>
      <w:r>
        <w:lastRenderedPageBreak/>
        <w:t>Reference List</w:t>
      </w:r>
    </w:p>
    <w:p w14:paraId="0368A4CC" w14:textId="6C9AD3FD" w:rsidR="00563F84" w:rsidRPr="00462C0B" w:rsidRDefault="00563F84" w:rsidP="00F63455">
      <w:pPr>
        <w:spacing w:line="276" w:lineRule="auto"/>
        <w:rPr>
          <w:rFonts w:asciiTheme="majorBidi" w:hAnsiTheme="majorBidi" w:cstheme="majorBidi"/>
          <w:color w:val="222222"/>
          <w:sz w:val="21"/>
          <w:szCs w:val="21"/>
          <w:shd w:val="clear" w:color="auto" w:fill="FFFFFF"/>
        </w:rPr>
      </w:pPr>
      <w:r w:rsidRPr="00462C0B">
        <w:rPr>
          <w:rFonts w:asciiTheme="majorBidi" w:hAnsiTheme="majorBidi" w:cstheme="majorBidi"/>
          <w:color w:val="222222"/>
          <w:sz w:val="21"/>
          <w:szCs w:val="21"/>
          <w:shd w:val="clear" w:color="auto" w:fill="FFFFFF"/>
        </w:rPr>
        <w:t xml:space="preserve">Arlidge, W. N., Bull, J. W., Addison, P. F., </w:t>
      </w:r>
      <w:proofErr w:type="spellStart"/>
      <w:r w:rsidRPr="00462C0B">
        <w:rPr>
          <w:rFonts w:asciiTheme="majorBidi" w:hAnsiTheme="majorBidi" w:cstheme="majorBidi"/>
          <w:color w:val="222222"/>
          <w:sz w:val="21"/>
          <w:szCs w:val="21"/>
          <w:shd w:val="clear" w:color="auto" w:fill="FFFFFF"/>
        </w:rPr>
        <w:t>Burgass</w:t>
      </w:r>
      <w:proofErr w:type="spellEnd"/>
      <w:r w:rsidRPr="00462C0B">
        <w:rPr>
          <w:rFonts w:asciiTheme="majorBidi" w:hAnsiTheme="majorBidi" w:cstheme="majorBidi"/>
          <w:color w:val="222222"/>
          <w:sz w:val="21"/>
          <w:szCs w:val="21"/>
          <w:shd w:val="clear" w:color="auto" w:fill="FFFFFF"/>
        </w:rPr>
        <w:t xml:space="preserve">, M. J., </w:t>
      </w:r>
      <w:proofErr w:type="spellStart"/>
      <w:r w:rsidRPr="00462C0B">
        <w:rPr>
          <w:rFonts w:asciiTheme="majorBidi" w:hAnsiTheme="majorBidi" w:cstheme="majorBidi"/>
          <w:color w:val="222222"/>
          <w:sz w:val="21"/>
          <w:szCs w:val="21"/>
          <w:shd w:val="clear" w:color="auto" w:fill="FFFFFF"/>
        </w:rPr>
        <w:t>Gianuca</w:t>
      </w:r>
      <w:proofErr w:type="spellEnd"/>
      <w:r w:rsidRPr="00462C0B">
        <w:rPr>
          <w:rFonts w:asciiTheme="majorBidi" w:hAnsiTheme="majorBidi" w:cstheme="majorBidi"/>
          <w:color w:val="222222"/>
          <w:sz w:val="21"/>
          <w:szCs w:val="21"/>
          <w:shd w:val="clear" w:color="auto" w:fill="FFFFFF"/>
        </w:rPr>
        <w:t>, D., Gorham, T. M., ... &amp; Milner-Gulland, E. J. (2018). A global mitigation hierarchy for nature conservation. </w:t>
      </w:r>
      <w:proofErr w:type="spellStart"/>
      <w:r w:rsidRPr="00462C0B">
        <w:rPr>
          <w:rFonts w:asciiTheme="majorBidi" w:hAnsiTheme="majorBidi" w:cstheme="majorBidi"/>
          <w:i/>
          <w:iCs/>
          <w:color w:val="222222"/>
          <w:sz w:val="21"/>
          <w:szCs w:val="21"/>
          <w:shd w:val="clear" w:color="auto" w:fill="FFFFFF"/>
        </w:rPr>
        <w:t>BioScience</w:t>
      </w:r>
      <w:proofErr w:type="spellEnd"/>
      <w:r w:rsidRPr="00462C0B">
        <w:rPr>
          <w:rFonts w:asciiTheme="majorBidi" w:hAnsiTheme="majorBidi" w:cstheme="majorBidi"/>
          <w:color w:val="222222"/>
          <w:sz w:val="21"/>
          <w:szCs w:val="21"/>
          <w:shd w:val="clear" w:color="auto" w:fill="FFFFFF"/>
        </w:rPr>
        <w:t>, </w:t>
      </w:r>
      <w:r w:rsidRPr="00462C0B">
        <w:rPr>
          <w:rFonts w:asciiTheme="majorBidi" w:hAnsiTheme="majorBidi" w:cstheme="majorBidi"/>
          <w:i/>
          <w:iCs/>
          <w:color w:val="222222"/>
          <w:sz w:val="21"/>
          <w:szCs w:val="21"/>
          <w:shd w:val="clear" w:color="auto" w:fill="FFFFFF"/>
        </w:rPr>
        <w:t>68</w:t>
      </w:r>
      <w:r w:rsidRPr="00462C0B">
        <w:rPr>
          <w:rFonts w:asciiTheme="majorBidi" w:hAnsiTheme="majorBidi" w:cstheme="majorBidi"/>
          <w:color w:val="222222"/>
          <w:sz w:val="21"/>
          <w:szCs w:val="21"/>
          <w:shd w:val="clear" w:color="auto" w:fill="FFFFFF"/>
        </w:rPr>
        <w:t>(5), 336-347.</w:t>
      </w:r>
    </w:p>
    <w:p w14:paraId="0AC38427" w14:textId="70F4B8EE" w:rsidR="0052549E" w:rsidRPr="00462C0B" w:rsidRDefault="0052549E" w:rsidP="00F63455">
      <w:pPr>
        <w:spacing w:line="276" w:lineRule="auto"/>
        <w:rPr>
          <w:rFonts w:asciiTheme="majorBidi" w:eastAsia="Times New Roman" w:hAnsiTheme="majorBidi" w:cstheme="majorBidi"/>
          <w:color w:val="000000" w:themeColor="text1"/>
          <w:sz w:val="21"/>
          <w:szCs w:val="21"/>
          <w:lang w:eastAsia="en-GB"/>
        </w:rPr>
      </w:pPr>
      <w:r w:rsidRPr="00462C0B">
        <w:rPr>
          <w:rFonts w:asciiTheme="majorBidi" w:hAnsiTheme="majorBidi" w:cstheme="majorBidi"/>
          <w:color w:val="222222"/>
          <w:sz w:val="21"/>
          <w:szCs w:val="21"/>
          <w:shd w:val="clear" w:color="auto" w:fill="FFFFFF"/>
        </w:rPr>
        <w:t>Arksey, H., &amp; O'Malley, L. (2005). Scoping studies: towards a methodological framework. </w:t>
      </w:r>
      <w:r w:rsidRPr="00462C0B">
        <w:rPr>
          <w:rFonts w:asciiTheme="majorBidi" w:hAnsiTheme="majorBidi" w:cstheme="majorBidi"/>
          <w:i/>
          <w:iCs/>
          <w:color w:val="222222"/>
          <w:sz w:val="21"/>
          <w:szCs w:val="21"/>
          <w:shd w:val="clear" w:color="auto" w:fill="FFFFFF"/>
        </w:rPr>
        <w:t>International journal of social research methodology</w:t>
      </w:r>
      <w:r w:rsidRPr="00462C0B">
        <w:rPr>
          <w:rFonts w:asciiTheme="majorBidi" w:hAnsiTheme="majorBidi" w:cstheme="majorBidi"/>
          <w:color w:val="222222"/>
          <w:sz w:val="21"/>
          <w:szCs w:val="21"/>
          <w:shd w:val="clear" w:color="auto" w:fill="FFFFFF"/>
        </w:rPr>
        <w:t>, </w:t>
      </w:r>
      <w:r w:rsidRPr="00462C0B">
        <w:rPr>
          <w:rFonts w:asciiTheme="majorBidi" w:hAnsiTheme="majorBidi" w:cstheme="majorBidi"/>
          <w:i/>
          <w:iCs/>
          <w:color w:val="222222"/>
          <w:sz w:val="21"/>
          <w:szCs w:val="21"/>
          <w:shd w:val="clear" w:color="auto" w:fill="FFFFFF"/>
        </w:rPr>
        <w:t>8</w:t>
      </w:r>
      <w:r w:rsidRPr="00462C0B">
        <w:rPr>
          <w:rFonts w:asciiTheme="majorBidi" w:hAnsiTheme="majorBidi" w:cstheme="majorBidi"/>
          <w:color w:val="222222"/>
          <w:sz w:val="21"/>
          <w:szCs w:val="21"/>
          <w:shd w:val="clear" w:color="auto" w:fill="FFFFFF"/>
        </w:rPr>
        <w:t>(1), 19-32.</w:t>
      </w:r>
    </w:p>
    <w:p w14:paraId="598A2584"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Armsworth, P. R., Acs, S., Dallimer, M., Gaston, K. J., Hanley, N., &amp; Wilson, P. (2012). The cost of policy simplification in conservation incentive programs. </w:t>
      </w:r>
      <w:r w:rsidRPr="00462C0B">
        <w:rPr>
          <w:rFonts w:asciiTheme="majorBidi" w:eastAsiaTheme="minorEastAsia" w:hAnsiTheme="majorBidi" w:cstheme="majorBidi"/>
          <w:i/>
          <w:iCs/>
          <w:color w:val="222222"/>
          <w:sz w:val="21"/>
          <w:szCs w:val="21"/>
          <w:shd w:val="clear" w:color="auto" w:fill="FFFFFF"/>
          <w:lang w:eastAsia="zh-CN"/>
        </w:rPr>
        <w:t>Ecology letters</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15</w:t>
      </w:r>
      <w:r w:rsidRPr="00462C0B">
        <w:rPr>
          <w:rFonts w:asciiTheme="majorBidi" w:eastAsiaTheme="minorEastAsia" w:hAnsiTheme="majorBidi" w:cstheme="majorBidi"/>
          <w:color w:val="222222"/>
          <w:sz w:val="21"/>
          <w:szCs w:val="21"/>
          <w:shd w:val="clear" w:color="auto" w:fill="FFFFFF"/>
          <w:lang w:eastAsia="zh-CN"/>
        </w:rPr>
        <w:t>(5), 406-414.</w:t>
      </w:r>
    </w:p>
    <w:p w14:paraId="23CE1C16"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Baker, J., </w:t>
      </w:r>
      <w:proofErr w:type="spellStart"/>
      <w:r w:rsidRPr="00462C0B">
        <w:rPr>
          <w:rFonts w:asciiTheme="majorBidi" w:eastAsiaTheme="minorEastAsia" w:hAnsiTheme="majorBidi" w:cstheme="majorBidi"/>
          <w:sz w:val="21"/>
          <w:szCs w:val="21"/>
          <w:lang w:eastAsia="en-GB"/>
        </w:rPr>
        <w:t>Sheate</w:t>
      </w:r>
      <w:proofErr w:type="spellEnd"/>
      <w:r w:rsidRPr="00462C0B">
        <w:rPr>
          <w:rFonts w:asciiTheme="majorBidi" w:eastAsiaTheme="minorEastAsia" w:hAnsiTheme="majorBidi" w:cstheme="majorBidi"/>
          <w:sz w:val="21"/>
          <w:szCs w:val="21"/>
          <w:lang w:eastAsia="en-GB"/>
        </w:rPr>
        <w:t xml:space="preserve">, W.R., Bennett, T., Payne, D., Tucker, G., White, O. and Forrest, S. (2016) </w:t>
      </w:r>
      <w:r w:rsidRPr="00462C0B">
        <w:rPr>
          <w:rFonts w:asciiTheme="majorBidi" w:eastAsiaTheme="minorEastAsia" w:hAnsiTheme="majorBidi" w:cstheme="majorBidi"/>
          <w:i/>
          <w:iCs/>
          <w:sz w:val="21"/>
          <w:szCs w:val="21"/>
          <w:lang w:eastAsia="en-GB"/>
        </w:rPr>
        <w:t xml:space="preserve">Evaluation of the Biodiversity Offsetting Pilot Programme Final Report. </w:t>
      </w:r>
      <w:r w:rsidRPr="00462C0B">
        <w:rPr>
          <w:rFonts w:asciiTheme="majorBidi" w:eastAsiaTheme="minorEastAsia" w:hAnsiTheme="majorBidi" w:cstheme="majorBidi"/>
          <w:sz w:val="21"/>
          <w:szCs w:val="21"/>
          <w:lang w:eastAsia="en-GB"/>
        </w:rPr>
        <w:t xml:space="preserve">London: Department for Environment, Food and Rural Affairs (Defra). Available: </w:t>
      </w:r>
      <w:hyperlink r:id="rId14" w:tgtFrame="_blank" w:history="1">
        <w:r w:rsidRPr="00462C0B">
          <w:rPr>
            <w:rFonts w:asciiTheme="majorBidi" w:eastAsiaTheme="minorEastAsia" w:hAnsiTheme="majorBidi" w:cstheme="majorBidi"/>
            <w:color w:val="0563C1" w:themeColor="hyperlink"/>
            <w:sz w:val="21"/>
            <w:szCs w:val="21"/>
            <w:u w:val="single"/>
            <w:lang w:eastAsia="en-GB"/>
          </w:rPr>
          <w:t>http://randd.defra.gov.uk/Default.aspx?Menu=Menu&amp;Module=More&amp;Location=None&amp;Completed=0&amp;ProjectID=18229</w:t>
        </w:r>
      </w:hyperlink>
      <w:r w:rsidRPr="00462C0B">
        <w:rPr>
          <w:rFonts w:asciiTheme="majorBidi" w:eastAsiaTheme="minorEastAsia" w:hAnsiTheme="majorBidi" w:cstheme="majorBidi"/>
          <w:sz w:val="21"/>
          <w:szCs w:val="21"/>
          <w:lang w:eastAsia="en-GB"/>
        </w:rPr>
        <w:t xml:space="preserve">. </w:t>
      </w:r>
    </w:p>
    <w:p w14:paraId="35183762"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sz w:val="21"/>
          <w:szCs w:val="21"/>
          <w:lang w:eastAsia="zh-CN"/>
        </w:rPr>
        <w:t xml:space="preserve">Biodiversity Offset Design Handbook. Washington: Forest Trends. Available: </w:t>
      </w:r>
      <w:hyperlink r:id="rId15" w:history="1">
        <w:r w:rsidRPr="00462C0B">
          <w:rPr>
            <w:rFonts w:asciiTheme="majorBidi" w:eastAsiaTheme="minorEastAsia" w:hAnsiTheme="majorBidi" w:cstheme="majorBidi"/>
            <w:color w:val="0563C1" w:themeColor="hyperlink"/>
            <w:sz w:val="21"/>
            <w:szCs w:val="21"/>
            <w:u w:val="single"/>
            <w:lang w:eastAsia="zh-CN"/>
          </w:rPr>
          <w:t>http://www.forest-trends.org/documents/files/doc_3126.pdf</w:t>
        </w:r>
      </w:hyperlink>
      <w:r w:rsidRPr="00462C0B">
        <w:rPr>
          <w:rFonts w:asciiTheme="majorBidi" w:eastAsiaTheme="minorEastAsia" w:hAnsiTheme="majorBidi" w:cstheme="majorBidi"/>
          <w:sz w:val="21"/>
          <w:szCs w:val="21"/>
          <w:lang w:eastAsia="zh-CN"/>
        </w:rPr>
        <w:t xml:space="preserve">. </w:t>
      </w:r>
    </w:p>
    <w:p w14:paraId="7D1177B3"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color w:val="222222"/>
          <w:sz w:val="21"/>
          <w:szCs w:val="21"/>
          <w:shd w:val="clear" w:color="auto" w:fill="FFFFFF"/>
          <w:lang w:eastAsia="zh-CN"/>
        </w:rPr>
        <w:t>BenDor, T. K., &amp; Doyle, M. W. (2009). Planning for ecosystem service markets. </w:t>
      </w:r>
      <w:r w:rsidRPr="00462C0B">
        <w:rPr>
          <w:rFonts w:asciiTheme="majorBidi" w:eastAsiaTheme="minorEastAsia" w:hAnsiTheme="majorBidi" w:cstheme="majorBidi"/>
          <w:i/>
          <w:iCs/>
          <w:color w:val="222222"/>
          <w:sz w:val="21"/>
          <w:szCs w:val="21"/>
          <w:shd w:val="clear" w:color="auto" w:fill="FFFFFF"/>
          <w:lang w:eastAsia="zh-CN"/>
        </w:rPr>
        <w:t>Journal of the American Planning Association</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76</w:t>
      </w:r>
      <w:r w:rsidRPr="00462C0B">
        <w:rPr>
          <w:rFonts w:asciiTheme="majorBidi" w:eastAsiaTheme="minorEastAsia" w:hAnsiTheme="majorBidi" w:cstheme="majorBidi"/>
          <w:color w:val="222222"/>
          <w:sz w:val="21"/>
          <w:szCs w:val="21"/>
          <w:shd w:val="clear" w:color="auto" w:fill="FFFFFF"/>
          <w:lang w:eastAsia="zh-CN"/>
        </w:rPr>
        <w:t>(1), 59-72.</w:t>
      </w:r>
    </w:p>
    <w:p w14:paraId="222A0AB6"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Bendor, T. (2009). A dynamic analysis of the wetland mitigation process and its effects on no net loss policy. </w:t>
      </w:r>
      <w:r w:rsidRPr="00462C0B">
        <w:rPr>
          <w:rFonts w:asciiTheme="majorBidi" w:eastAsiaTheme="minorEastAsia" w:hAnsiTheme="majorBidi" w:cstheme="majorBidi"/>
          <w:i/>
          <w:iCs/>
          <w:color w:val="222222"/>
          <w:sz w:val="21"/>
          <w:szCs w:val="21"/>
          <w:shd w:val="clear" w:color="auto" w:fill="FFFFFF"/>
          <w:lang w:eastAsia="zh-CN"/>
        </w:rPr>
        <w:t>Landscape and urban planning</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89</w:t>
      </w:r>
      <w:r w:rsidRPr="00462C0B">
        <w:rPr>
          <w:rFonts w:asciiTheme="majorBidi" w:eastAsiaTheme="minorEastAsia" w:hAnsiTheme="majorBidi" w:cstheme="majorBidi"/>
          <w:color w:val="222222"/>
          <w:sz w:val="21"/>
          <w:szCs w:val="21"/>
          <w:shd w:val="clear" w:color="auto" w:fill="FFFFFF"/>
          <w:lang w:eastAsia="zh-CN"/>
        </w:rPr>
        <w:t>(1-2), 17-27.</w:t>
      </w:r>
    </w:p>
    <w:p w14:paraId="41E9A52F"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BenDor, T., &amp; Brozović, N. (2007). Determinants of spatial and temporal patterns in compensatory wetland mitigation. </w:t>
      </w:r>
      <w:r w:rsidRPr="00462C0B">
        <w:rPr>
          <w:rFonts w:asciiTheme="majorBidi" w:eastAsiaTheme="minorEastAsia" w:hAnsiTheme="majorBidi" w:cstheme="majorBidi"/>
          <w:i/>
          <w:iCs/>
          <w:color w:val="222222"/>
          <w:sz w:val="21"/>
          <w:szCs w:val="21"/>
          <w:shd w:val="clear" w:color="auto" w:fill="FFFFFF"/>
          <w:lang w:eastAsia="zh-CN"/>
        </w:rPr>
        <w:t>Environmental Management</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40</w:t>
      </w:r>
      <w:r w:rsidRPr="00462C0B">
        <w:rPr>
          <w:rFonts w:asciiTheme="majorBidi" w:eastAsiaTheme="minorEastAsia" w:hAnsiTheme="majorBidi" w:cstheme="majorBidi"/>
          <w:color w:val="222222"/>
          <w:sz w:val="21"/>
          <w:szCs w:val="21"/>
          <w:shd w:val="clear" w:color="auto" w:fill="FFFFFF"/>
          <w:lang w:eastAsia="zh-CN"/>
        </w:rPr>
        <w:t>(3), 349-364.</w:t>
      </w:r>
    </w:p>
    <w:p w14:paraId="3B72D756"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BenDor, T. K., &amp; Riggsbee, J. A. (2011). A survey of entrepreneurial risk in US wetland and stream compensatory mitigation markets. </w:t>
      </w:r>
      <w:r w:rsidRPr="00462C0B">
        <w:rPr>
          <w:rFonts w:asciiTheme="majorBidi" w:eastAsiaTheme="minorEastAsia" w:hAnsiTheme="majorBidi" w:cstheme="majorBidi"/>
          <w:i/>
          <w:iCs/>
          <w:color w:val="222222"/>
          <w:sz w:val="21"/>
          <w:szCs w:val="21"/>
          <w:shd w:val="clear" w:color="auto" w:fill="FFFFFF"/>
          <w:lang w:eastAsia="zh-CN"/>
        </w:rPr>
        <w:t>environmental science &amp; policy</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14</w:t>
      </w:r>
      <w:r w:rsidRPr="00462C0B">
        <w:rPr>
          <w:rFonts w:asciiTheme="majorBidi" w:eastAsiaTheme="minorEastAsia" w:hAnsiTheme="majorBidi" w:cstheme="majorBidi"/>
          <w:color w:val="222222"/>
          <w:sz w:val="21"/>
          <w:szCs w:val="21"/>
          <w:shd w:val="clear" w:color="auto" w:fill="FFFFFF"/>
          <w:lang w:eastAsia="zh-CN"/>
        </w:rPr>
        <w:t>(3), 301-314.</w:t>
      </w:r>
    </w:p>
    <w:p w14:paraId="3FBBE139"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BenDor, T. K., Guo, T., &amp; Yates, A. J. (2014). Optimal advanced credit releases in ecosystem service markets. </w:t>
      </w:r>
      <w:r w:rsidRPr="00462C0B">
        <w:rPr>
          <w:rFonts w:asciiTheme="majorBidi" w:eastAsiaTheme="minorEastAsia" w:hAnsiTheme="majorBidi" w:cstheme="majorBidi"/>
          <w:i/>
          <w:iCs/>
          <w:color w:val="222222"/>
          <w:sz w:val="21"/>
          <w:szCs w:val="21"/>
          <w:shd w:val="clear" w:color="auto" w:fill="FFFFFF"/>
          <w:lang w:eastAsia="zh-CN"/>
        </w:rPr>
        <w:t>Environmental management</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53</w:t>
      </w:r>
      <w:r w:rsidRPr="00462C0B">
        <w:rPr>
          <w:rFonts w:asciiTheme="majorBidi" w:eastAsiaTheme="minorEastAsia" w:hAnsiTheme="majorBidi" w:cstheme="majorBidi"/>
          <w:color w:val="222222"/>
          <w:sz w:val="21"/>
          <w:szCs w:val="21"/>
          <w:shd w:val="clear" w:color="auto" w:fill="FFFFFF"/>
          <w:lang w:eastAsia="zh-CN"/>
        </w:rPr>
        <w:t>(3), 496-509.</w:t>
      </w:r>
    </w:p>
    <w:p w14:paraId="25BC1F86"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BenDor, T. K., Riggsbee, J. A., &amp; Doyle, M. (2011). Risk and markets for ecosystem services. </w:t>
      </w:r>
      <w:r w:rsidRPr="00462C0B">
        <w:rPr>
          <w:rFonts w:asciiTheme="majorBidi" w:eastAsiaTheme="minorEastAsia" w:hAnsiTheme="majorBidi" w:cstheme="majorBidi"/>
          <w:i/>
          <w:iCs/>
          <w:color w:val="222222"/>
          <w:sz w:val="21"/>
          <w:szCs w:val="21"/>
          <w:shd w:val="clear" w:color="auto" w:fill="FFFFFF"/>
          <w:lang w:eastAsia="zh-CN"/>
        </w:rPr>
        <w:t>Environmental science &amp; technology</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45</w:t>
      </w:r>
      <w:r w:rsidRPr="00462C0B">
        <w:rPr>
          <w:rFonts w:asciiTheme="majorBidi" w:eastAsiaTheme="minorEastAsia" w:hAnsiTheme="majorBidi" w:cstheme="majorBidi"/>
          <w:color w:val="222222"/>
          <w:sz w:val="21"/>
          <w:szCs w:val="21"/>
          <w:shd w:val="clear" w:color="auto" w:fill="FFFFFF"/>
          <w:lang w:eastAsia="zh-CN"/>
        </w:rPr>
        <w:t>(24), 10322-10330.</w:t>
      </w:r>
    </w:p>
    <w:p w14:paraId="3D122D06"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proofErr w:type="spellStart"/>
      <w:r w:rsidRPr="00462C0B">
        <w:rPr>
          <w:rFonts w:asciiTheme="majorBidi" w:eastAsiaTheme="minorEastAsia" w:hAnsiTheme="majorBidi" w:cstheme="majorBidi"/>
          <w:color w:val="222222"/>
          <w:sz w:val="21"/>
          <w:szCs w:val="21"/>
          <w:shd w:val="clear" w:color="auto" w:fill="FFFFFF"/>
          <w:lang w:eastAsia="zh-CN"/>
        </w:rPr>
        <w:t>Blicharska</w:t>
      </w:r>
      <w:proofErr w:type="spellEnd"/>
      <w:r w:rsidRPr="00462C0B">
        <w:rPr>
          <w:rFonts w:asciiTheme="majorBidi" w:eastAsiaTheme="minorEastAsia" w:hAnsiTheme="majorBidi" w:cstheme="majorBidi"/>
          <w:color w:val="222222"/>
          <w:sz w:val="21"/>
          <w:szCs w:val="21"/>
          <w:shd w:val="clear" w:color="auto" w:fill="FFFFFF"/>
          <w:lang w:eastAsia="zh-CN"/>
        </w:rPr>
        <w:t xml:space="preserve">, M., Hedblom, M., Josefsson, J., </w:t>
      </w:r>
      <w:proofErr w:type="spellStart"/>
      <w:r w:rsidRPr="00462C0B">
        <w:rPr>
          <w:rFonts w:asciiTheme="majorBidi" w:eastAsiaTheme="minorEastAsia" w:hAnsiTheme="majorBidi" w:cstheme="majorBidi"/>
          <w:color w:val="222222"/>
          <w:sz w:val="21"/>
          <w:szCs w:val="21"/>
          <w:shd w:val="clear" w:color="auto" w:fill="FFFFFF"/>
          <w:lang w:eastAsia="zh-CN"/>
        </w:rPr>
        <w:t>Widenfalk</w:t>
      </w:r>
      <w:proofErr w:type="spellEnd"/>
      <w:r w:rsidRPr="00462C0B">
        <w:rPr>
          <w:rFonts w:asciiTheme="majorBidi" w:eastAsiaTheme="minorEastAsia" w:hAnsiTheme="majorBidi" w:cstheme="majorBidi"/>
          <w:color w:val="222222"/>
          <w:sz w:val="21"/>
          <w:szCs w:val="21"/>
          <w:shd w:val="clear" w:color="auto" w:fill="FFFFFF"/>
          <w:lang w:eastAsia="zh-CN"/>
        </w:rPr>
        <w:t xml:space="preserve">, O., </w:t>
      </w:r>
      <w:proofErr w:type="spellStart"/>
      <w:r w:rsidRPr="00462C0B">
        <w:rPr>
          <w:rFonts w:asciiTheme="majorBidi" w:eastAsiaTheme="minorEastAsia" w:hAnsiTheme="majorBidi" w:cstheme="majorBidi"/>
          <w:color w:val="222222"/>
          <w:sz w:val="21"/>
          <w:szCs w:val="21"/>
          <w:shd w:val="clear" w:color="auto" w:fill="FFFFFF"/>
          <w:lang w:eastAsia="zh-CN"/>
        </w:rPr>
        <w:t>Ranius</w:t>
      </w:r>
      <w:proofErr w:type="spellEnd"/>
      <w:r w:rsidRPr="00462C0B">
        <w:rPr>
          <w:rFonts w:asciiTheme="majorBidi" w:eastAsiaTheme="minorEastAsia" w:hAnsiTheme="majorBidi" w:cstheme="majorBidi"/>
          <w:color w:val="222222"/>
          <w:sz w:val="21"/>
          <w:szCs w:val="21"/>
          <w:shd w:val="clear" w:color="auto" w:fill="FFFFFF"/>
          <w:lang w:eastAsia="zh-CN"/>
        </w:rPr>
        <w:t xml:space="preserve">, T., </w:t>
      </w:r>
      <w:proofErr w:type="spellStart"/>
      <w:r w:rsidRPr="00462C0B">
        <w:rPr>
          <w:rFonts w:asciiTheme="majorBidi" w:eastAsiaTheme="minorEastAsia" w:hAnsiTheme="majorBidi" w:cstheme="majorBidi"/>
          <w:color w:val="222222"/>
          <w:sz w:val="21"/>
          <w:szCs w:val="21"/>
          <w:shd w:val="clear" w:color="auto" w:fill="FFFFFF"/>
          <w:lang w:eastAsia="zh-CN"/>
        </w:rPr>
        <w:t>Öckinger</w:t>
      </w:r>
      <w:proofErr w:type="spellEnd"/>
      <w:r w:rsidRPr="00462C0B">
        <w:rPr>
          <w:rFonts w:asciiTheme="majorBidi" w:eastAsiaTheme="minorEastAsia" w:hAnsiTheme="majorBidi" w:cstheme="majorBidi"/>
          <w:color w:val="222222"/>
          <w:sz w:val="21"/>
          <w:szCs w:val="21"/>
          <w:shd w:val="clear" w:color="auto" w:fill="FFFFFF"/>
          <w:lang w:eastAsia="zh-CN"/>
        </w:rPr>
        <w:t xml:space="preserve">, E., &amp; </w:t>
      </w:r>
      <w:proofErr w:type="spellStart"/>
      <w:r w:rsidRPr="00462C0B">
        <w:rPr>
          <w:rFonts w:asciiTheme="majorBidi" w:eastAsiaTheme="minorEastAsia" w:hAnsiTheme="majorBidi" w:cstheme="majorBidi"/>
          <w:color w:val="222222"/>
          <w:sz w:val="21"/>
          <w:szCs w:val="21"/>
          <w:shd w:val="clear" w:color="auto" w:fill="FFFFFF"/>
          <w:lang w:eastAsia="zh-CN"/>
        </w:rPr>
        <w:t>Widenfalk</w:t>
      </w:r>
      <w:proofErr w:type="spellEnd"/>
      <w:r w:rsidRPr="00462C0B">
        <w:rPr>
          <w:rFonts w:asciiTheme="majorBidi" w:eastAsiaTheme="minorEastAsia" w:hAnsiTheme="majorBidi" w:cstheme="majorBidi"/>
          <w:color w:val="222222"/>
          <w:sz w:val="21"/>
          <w:szCs w:val="21"/>
          <w:shd w:val="clear" w:color="auto" w:fill="FFFFFF"/>
          <w:lang w:eastAsia="zh-CN"/>
        </w:rPr>
        <w:t>, L. A. (2022). Operationalisation of ecological compensation–Obstacles and ways forward. </w:t>
      </w:r>
      <w:r w:rsidRPr="00462C0B">
        <w:rPr>
          <w:rFonts w:asciiTheme="majorBidi" w:eastAsiaTheme="minorEastAsia" w:hAnsiTheme="majorBidi" w:cstheme="majorBidi"/>
          <w:i/>
          <w:iCs/>
          <w:color w:val="222222"/>
          <w:sz w:val="21"/>
          <w:szCs w:val="21"/>
          <w:shd w:val="clear" w:color="auto" w:fill="FFFFFF"/>
          <w:lang w:eastAsia="zh-CN"/>
        </w:rPr>
        <w:t>Journal of Environmental Management</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304</w:t>
      </w:r>
      <w:r w:rsidRPr="00462C0B">
        <w:rPr>
          <w:rFonts w:asciiTheme="majorBidi" w:eastAsiaTheme="minorEastAsia" w:hAnsiTheme="majorBidi" w:cstheme="majorBidi"/>
          <w:color w:val="222222"/>
          <w:sz w:val="21"/>
          <w:szCs w:val="21"/>
          <w:shd w:val="clear" w:color="auto" w:fill="FFFFFF"/>
          <w:lang w:eastAsia="zh-CN"/>
        </w:rPr>
        <w:t>, 114277.</w:t>
      </w:r>
    </w:p>
    <w:p w14:paraId="7D5614BF"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color w:val="222222"/>
          <w:sz w:val="21"/>
          <w:szCs w:val="21"/>
          <w:shd w:val="clear" w:color="auto" w:fill="FFFFFF"/>
          <w:lang w:eastAsia="zh-CN"/>
        </w:rPr>
        <w:t>Bonds, M. H., &amp; Pompe, J. J. (2003). Calculating wetland mitigation banking credits: adjusting for wetland function and location. </w:t>
      </w:r>
      <w:r w:rsidRPr="00462C0B">
        <w:rPr>
          <w:rFonts w:asciiTheme="majorBidi" w:eastAsiaTheme="minorEastAsia" w:hAnsiTheme="majorBidi" w:cstheme="majorBidi"/>
          <w:i/>
          <w:iCs/>
          <w:color w:val="222222"/>
          <w:sz w:val="21"/>
          <w:szCs w:val="21"/>
          <w:shd w:val="clear" w:color="auto" w:fill="FFFFFF"/>
          <w:lang w:eastAsia="zh-CN"/>
        </w:rPr>
        <w:t>Natural Resources Journal</w:t>
      </w:r>
      <w:r w:rsidRPr="00462C0B">
        <w:rPr>
          <w:rFonts w:asciiTheme="majorBidi" w:eastAsiaTheme="minorEastAsia" w:hAnsiTheme="majorBidi" w:cstheme="majorBidi"/>
          <w:color w:val="222222"/>
          <w:sz w:val="21"/>
          <w:szCs w:val="21"/>
          <w:shd w:val="clear" w:color="auto" w:fill="FFFFFF"/>
          <w:lang w:eastAsia="zh-CN"/>
        </w:rPr>
        <w:t>, 961-977.</w:t>
      </w:r>
    </w:p>
    <w:p w14:paraId="6A66CDDC"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Briggs, B.D.J., Hill, D.A. and Gillespie, R. (2009) Habitat banking-how it could work in the UK. </w:t>
      </w:r>
      <w:r w:rsidRPr="00462C0B">
        <w:rPr>
          <w:rFonts w:asciiTheme="majorBidi" w:eastAsiaTheme="minorEastAsia" w:hAnsiTheme="majorBidi" w:cstheme="majorBidi"/>
          <w:i/>
          <w:iCs/>
          <w:sz w:val="21"/>
          <w:szCs w:val="21"/>
          <w:lang w:eastAsia="en-GB"/>
        </w:rPr>
        <w:t xml:space="preserve">Journal for Nature Conservation, </w:t>
      </w:r>
      <w:r w:rsidRPr="00462C0B">
        <w:rPr>
          <w:rFonts w:asciiTheme="majorBidi" w:eastAsiaTheme="minorEastAsia" w:hAnsiTheme="majorBidi" w:cstheme="majorBidi"/>
          <w:sz w:val="21"/>
          <w:szCs w:val="21"/>
          <w:lang w:eastAsia="en-GB"/>
        </w:rPr>
        <w:t xml:space="preserve">17 (2), 112-122. </w:t>
      </w:r>
    </w:p>
    <w:p w14:paraId="04F44F1C"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Brown, P.H. and Lant, C.L. (1999) The effect of wetland mitigation banking on the achievement of no-net-loss. </w:t>
      </w:r>
      <w:r w:rsidRPr="00462C0B">
        <w:rPr>
          <w:rFonts w:asciiTheme="majorBidi" w:eastAsiaTheme="minorEastAsia" w:hAnsiTheme="majorBidi" w:cstheme="majorBidi"/>
          <w:i/>
          <w:iCs/>
          <w:sz w:val="21"/>
          <w:szCs w:val="21"/>
          <w:lang w:eastAsia="en-GB"/>
        </w:rPr>
        <w:t xml:space="preserve">Environmental Management, </w:t>
      </w:r>
      <w:r w:rsidRPr="00462C0B">
        <w:rPr>
          <w:rFonts w:asciiTheme="majorBidi" w:eastAsiaTheme="minorEastAsia" w:hAnsiTheme="majorBidi" w:cstheme="majorBidi"/>
          <w:sz w:val="21"/>
          <w:szCs w:val="21"/>
          <w:lang w:eastAsia="en-GB"/>
        </w:rPr>
        <w:t xml:space="preserve">23 (3), 333-345. </w:t>
      </w:r>
    </w:p>
    <w:p w14:paraId="2B8BA503"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lastRenderedPageBreak/>
        <w:t xml:space="preserve">Brown, S.C. and Veneman, P.L.M. (2001) Effectiveness of compensatory wetland mitigation in Massachusetts, USA. </w:t>
      </w:r>
      <w:r w:rsidRPr="00462C0B">
        <w:rPr>
          <w:rFonts w:asciiTheme="majorBidi" w:eastAsiaTheme="minorEastAsia" w:hAnsiTheme="majorBidi" w:cstheme="majorBidi"/>
          <w:i/>
          <w:iCs/>
          <w:sz w:val="21"/>
          <w:szCs w:val="21"/>
          <w:lang w:eastAsia="en-GB"/>
        </w:rPr>
        <w:t xml:space="preserve">Wetlands, </w:t>
      </w:r>
      <w:r w:rsidRPr="00462C0B">
        <w:rPr>
          <w:rFonts w:asciiTheme="majorBidi" w:eastAsiaTheme="minorEastAsia" w:hAnsiTheme="majorBidi" w:cstheme="majorBidi"/>
          <w:sz w:val="21"/>
          <w:szCs w:val="21"/>
          <w:lang w:eastAsia="en-GB"/>
        </w:rPr>
        <w:t xml:space="preserve">21 (4), pp. 508-518. </w:t>
      </w:r>
    </w:p>
    <w:p w14:paraId="274634A4"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Brown, J., Burton, M., Davis, K.J., Iftekhar, M.S., Olsen, S.B., Simmons, B.A., Strange, N. and Wilson, K.A., 2021. Heterogeneity in Preferences for Nonfinancial Incentives to Engage Landholders in Native Vegetation Management. </w:t>
      </w:r>
      <w:r w:rsidRPr="00462C0B">
        <w:rPr>
          <w:rFonts w:asciiTheme="majorBidi" w:eastAsiaTheme="minorEastAsia" w:hAnsiTheme="majorBidi" w:cstheme="majorBidi"/>
          <w:i/>
          <w:iCs/>
          <w:color w:val="222222"/>
          <w:sz w:val="21"/>
          <w:szCs w:val="21"/>
          <w:shd w:val="clear" w:color="auto" w:fill="FFFFFF"/>
          <w:lang w:eastAsia="zh-CN"/>
        </w:rPr>
        <w:t>Land Economics</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97</w:t>
      </w:r>
      <w:r w:rsidRPr="00462C0B">
        <w:rPr>
          <w:rFonts w:asciiTheme="majorBidi" w:eastAsiaTheme="minorEastAsia" w:hAnsiTheme="majorBidi" w:cstheme="majorBidi"/>
          <w:color w:val="222222"/>
          <w:sz w:val="21"/>
          <w:szCs w:val="21"/>
          <w:shd w:val="clear" w:color="auto" w:fill="FFFFFF"/>
          <w:lang w:eastAsia="zh-CN"/>
        </w:rPr>
        <w:t>(2), pp.388-406.</w:t>
      </w:r>
    </w:p>
    <w:p w14:paraId="4B5E352B"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Bull, J. W., &amp; Brownlie, S. (2017). The transition from No Net Loss to a Net Gain of biodiversity is far from trivial. Oryx, 51(1), 53-59.</w:t>
      </w:r>
    </w:p>
    <w:p w14:paraId="782A984C"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Bull, J.W., Suttle, K.B., Gordon, A., Singh, N.J. and Milner-Gulland, E.J. (2013) Biodiversity offsets in theory and practice. </w:t>
      </w:r>
      <w:r w:rsidRPr="00462C0B">
        <w:rPr>
          <w:rFonts w:asciiTheme="majorBidi" w:eastAsiaTheme="minorEastAsia" w:hAnsiTheme="majorBidi" w:cstheme="majorBidi"/>
          <w:i/>
          <w:iCs/>
          <w:sz w:val="21"/>
          <w:szCs w:val="21"/>
          <w:lang w:eastAsia="en-GB"/>
        </w:rPr>
        <w:t xml:space="preserve">Oryx, </w:t>
      </w:r>
      <w:r w:rsidRPr="00462C0B">
        <w:rPr>
          <w:rFonts w:asciiTheme="majorBidi" w:eastAsiaTheme="minorEastAsia" w:hAnsiTheme="majorBidi" w:cstheme="majorBidi"/>
          <w:sz w:val="21"/>
          <w:szCs w:val="21"/>
          <w:lang w:eastAsia="en-GB"/>
        </w:rPr>
        <w:t>47 (3), 369-380.</w:t>
      </w:r>
    </w:p>
    <w:p w14:paraId="1521881C"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Bull, J.W., Milner-Gulland, E.J., Suttle, K.B. and Singh, N.J. (2014) Comparing biodiversity offset calculation methods with a case study in Uzbekistan. </w:t>
      </w:r>
      <w:r w:rsidRPr="00462C0B">
        <w:rPr>
          <w:rFonts w:asciiTheme="majorBidi" w:eastAsiaTheme="minorEastAsia" w:hAnsiTheme="majorBidi" w:cstheme="majorBidi"/>
          <w:i/>
          <w:iCs/>
          <w:sz w:val="21"/>
          <w:szCs w:val="21"/>
          <w:lang w:eastAsia="en-GB"/>
        </w:rPr>
        <w:t xml:space="preserve">Biological Conservation, </w:t>
      </w:r>
      <w:r w:rsidRPr="00462C0B">
        <w:rPr>
          <w:rFonts w:asciiTheme="majorBidi" w:eastAsiaTheme="minorEastAsia" w:hAnsiTheme="majorBidi" w:cstheme="majorBidi"/>
          <w:sz w:val="21"/>
          <w:szCs w:val="21"/>
          <w:lang w:eastAsia="en-GB"/>
        </w:rPr>
        <w:t xml:space="preserve">178, 2-10. </w:t>
      </w:r>
    </w:p>
    <w:p w14:paraId="426F4E3F"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Bull, J.W., </w:t>
      </w:r>
      <w:proofErr w:type="spellStart"/>
      <w:r w:rsidRPr="00462C0B">
        <w:rPr>
          <w:rFonts w:asciiTheme="majorBidi" w:eastAsiaTheme="minorEastAsia" w:hAnsiTheme="majorBidi" w:cstheme="majorBidi"/>
          <w:sz w:val="21"/>
          <w:szCs w:val="21"/>
          <w:lang w:eastAsia="en-GB"/>
        </w:rPr>
        <w:t>Brauneder</w:t>
      </w:r>
      <w:proofErr w:type="spellEnd"/>
      <w:r w:rsidRPr="00462C0B">
        <w:rPr>
          <w:rFonts w:asciiTheme="majorBidi" w:eastAsiaTheme="minorEastAsia" w:hAnsiTheme="majorBidi" w:cstheme="majorBidi"/>
          <w:sz w:val="21"/>
          <w:szCs w:val="21"/>
          <w:lang w:eastAsia="en-GB"/>
        </w:rPr>
        <w:t xml:space="preserve">, K., Darbi, M., Van </w:t>
      </w:r>
      <w:proofErr w:type="spellStart"/>
      <w:r w:rsidRPr="00462C0B">
        <w:rPr>
          <w:rFonts w:asciiTheme="majorBidi" w:eastAsiaTheme="minorEastAsia" w:hAnsiTheme="majorBidi" w:cstheme="majorBidi"/>
          <w:sz w:val="21"/>
          <w:szCs w:val="21"/>
          <w:lang w:eastAsia="en-GB"/>
        </w:rPr>
        <w:t>Teeffelen</w:t>
      </w:r>
      <w:proofErr w:type="spellEnd"/>
      <w:r w:rsidRPr="00462C0B">
        <w:rPr>
          <w:rFonts w:asciiTheme="majorBidi" w:eastAsiaTheme="minorEastAsia" w:hAnsiTheme="majorBidi" w:cstheme="majorBidi"/>
          <w:sz w:val="21"/>
          <w:szCs w:val="21"/>
          <w:lang w:eastAsia="en-GB"/>
        </w:rPr>
        <w:t>, A.J., Quétier, F., Brooks, S.E., Dunnett, S. and Strange, N. (2018) Data transparency regarding the implementation of European ‘no net loss’ biodiversity policies. </w:t>
      </w:r>
      <w:r w:rsidRPr="00462C0B">
        <w:rPr>
          <w:rFonts w:asciiTheme="majorBidi" w:eastAsiaTheme="minorEastAsia" w:hAnsiTheme="majorBidi" w:cstheme="majorBidi"/>
          <w:i/>
          <w:iCs/>
          <w:sz w:val="21"/>
          <w:szCs w:val="21"/>
          <w:lang w:eastAsia="en-GB"/>
        </w:rPr>
        <w:t>Biological Conservation</w:t>
      </w:r>
      <w:r w:rsidRPr="00462C0B">
        <w:rPr>
          <w:rFonts w:asciiTheme="majorBidi" w:eastAsiaTheme="minorEastAsia" w:hAnsiTheme="majorBidi" w:cstheme="majorBidi"/>
          <w:sz w:val="21"/>
          <w:szCs w:val="21"/>
          <w:lang w:eastAsia="en-GB"/>
        </w:rPr>
        <w:t>, 218, 64-72.</w:t>
      </w:r>
    </w:p>
    <w:p w14:paraId="4319A9F1"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color w:val="222222"/>
          <w:sz w:val="21"/>
          <w:szCs w:val="21"/>
          <w:shd w:val="clear" w:color="auto" w:fill="FFFFFF"/>
          <w:lang w:eastAsia="en-GB"/>
        </w:rPr>
      </w:pPr>
      <w:r w:rsidRPr="00462C0B">
        <w:rPr>
          <w:rFonts w:asciiTheme="majorBidi" w:eastAsiaTheme="minorEastAsia" w:hAnsiTheme="majorBidi" w:cstheme="majorBidi"/>
          <w:color w:val="222222"/>
          <w:sz w:val="21"/>
          <w:szCs w:val="21"/>
          <w:shd w:val="clear" w:color="auto" w:fill="FFFFFF"/>
          <w:lang w:eastAsia="en-GB"/>
        </w:rPr>
        <w:t>Bull, J.W., Hardy, M.J., Moilanen, A. and Gordon, A., 2015. Categories of flexibility in biodiversity offsetting, and their implications for conservation. </w:t>
      </w:r>
      <w:r w:rsidRPr="00462C0B">
        <w:rPr>
          <w:rFonts w:asciiTheme="majorBidi" w:eastAsiaTheme="minorEastAsia" w:hAnsiTheme="majorBidi" w:cstheme="majorBidi"/>
          <w:i/>
          <w:iCs/>
          <w:color w:val="222222"/>
          <w:sz w:val="21"/>
          <w:szCs w:val="21"/>
          <w:shd w:val="clear" w:color="auto" w:fill="FFFFFF"/>
          <w:lang w:eastAsia="en-GB"/>
        </w:rPr>
        <w:t>Biological Conservation</w:t>
      </w:r>
      <w:r w:rsidRPr="00462C0B">
        <w:rPr>
          <w:rFonts w:asciiTheme="majorBidi" w:eastAsiaTheme="minorEastAsia" w:hAnsiTheme="majorBidi" w:cstheme="majorBidi"/>
          <w:color w:val="222222"/>
          <w:sz w:val="21"/>
          <w:szCs w:val="21"/>
          <w:shd w:val="clear" w:color="auto" w:fill="FFFFFF"/>
          <w:lang w:eastAsia="en-GB"/>
        </w:rPr>
        <w:t>, </w:t>
      </w:r>
      <w:r w:rsidRPr="00462C0B">
        <w:rPr>
          <w:rFonts w:asciiTheme="majorBidi" w:eastAsiaTheme="minorEastAsia" w:hAnsiTheme="majorBidi" w:cstheme="majorBidi"/>
          <w:i/>
          <w:iCs/>
          <w:color w:val="222222"/>
          <w:sz w:val="21"/>
          <w:szCs w:val="21"/>
          <w:shd w:val="clear" w:color="auto" w:fill="FFFFFF"/>
          <w:lang w:eastAsia="en-GB"/>
        </w:rPr>
        <w:t>192</w:t>
      </w:r>
      <w:r w:rsidRPr="00462C0B">
        <w:rPr>
          <w:rFonts w:asciiTheme="majorBidi" w:eastAsiaTheme="minorEastAsia" w:hAnsiTheme="majorBidi" w:cstheme="majorBidi"/>
          <w:color w:val="222222"/>
          <w:sz w:val="21"/>
          <w:szCs w:val="21"/>
          <w:shd w:val="clear" w:color="auto" w:fill="FFFFFF"/>
          <w:lang w:eastAsia="en-GB"/>
        </w:rPr>
        <w:t>, pp.522-532.</w:t>
      </w:r>
    </w:p>
    <w:p w14:paraId="4A996156"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color w:val="222222"/>
          <w:sz w:val="21"/>
          <w:szCs w:val="21"/>
          <w:shd w:val="clear" w:color="auto" w:fill="FFFFFF"/>
          <w:lang w:eastAsia="en-GB"/>
        </w:rPr>
      </w:pPr>
      <w:r w:rsidRPr="00462C0B">
        <w:rPr>
          <w:rFonts w:asciiTheme="majorBidi" w:eastAsiaTheme="minorEastAsia" w:hAnsiTheme="majorBidi" w:cstheme="majorBidi"/>
          <w:color w:val="222222"/>
          <w:sz w:val="21"/>
          <w:szCs w:val="21"/>
          <w:shd w:val="clear" w:color="auto" w:fill="FFFFFF"/>
          <w:lang w:eastAsia="en-GB"/>
        </w:rPr>
        <w:t>Carver, L., &amp; Sullivan, S. (2017). How economic contexts shape calculations of yield in biodiversity offsetting. </w:t>
      </w:r>
      <w:r w:rsidRPr="00462C0B">
        <w:rPr>
          <w:rFonts w:asciiTheme="majorBidi" w:eastAsiaTheme="minorEastAsia" w:hAnsiTheme="majorBidi" w:cstheme="majorBidi"/>
          <w:i/>
          <w:iCs/>
          <w:color w:val="222222"/>
          <w:sz w:val="21"/>
          <w:szCs w:val="21"/>
          <w:shd w:val="clear" w:color="auto" w:fill="FFFFFF"/>
          <w:lang w:eastAsia="en-GB"/>
        </w:rPr>
        <w:t>Conservation Biology</w:t>
      </w:r>
      <w:r w:rsidRPr="00462C0B">
        <w:rPr>
          <w:rFonts w:asciiTheme="majorBidi" w:eastAsiaTheme="minorEastAsia" w:hAnsiTheme="majorBidi" w:cstheme="majorBidi"/>
          <w:color w:val="222222"/>
          <w:sz w:val="21"/>
          <w:szCs w:val="21"/>
          <w:shd w:val="clear" w:color="auto" w:fill="FFFFFF"/>
          <w:lang w:eastAsia="en-GB"/>
        </w:rPr>
        <w:t>, </w:t>
      </w:r>
      <w:r w:rsidRPr="00462C0B">
        <w:rPr>
          <w:rFonts w:asciiTheme="majorBidi" w:eastAsiaTheme="minorEastAsia" w:hAnsiTheme="majorBidi" w:cstheme="majorBidi"/>
          <w:i/>
          <w:iCs/>
          <w:color w:val="222222"/>
          <w:sz w:val="21"/>
          <w:szCs w:val="21"/>
          <w:shd w:val="clear" w:color="auto" w:fill="FFFFFF"/>
          <w:lang w:eastAsia="en-GB"/>
        </w:rPr>
        <w:t>31</w:t>
      </w:r>
      <w:r w:rsidRPr="00462C0B">
        <w:rPr>
          <w:rFonts w:asciiTheme="majorBidi" w:eastAsiaTheme="minorEastAsia" w:hAnsiTheme="majorBidi" w:cstheme="majorBidi"/>
          <w:color w:val="222222"/>
          <w:sz w:val="21"/>
          <w:szCs w:val="21"/>
          <w:shd w:val="clear" w:color="auto" w:fill="FFFFFF"/>
          <w:lang w:eastAsia="en-GB"/>
        </w:rPr>
        <w:t>(5), 1053-1065.</w:t>
      </w:r>
    </w:p>
    <w:p w14:paraId="7937F176"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sz w:val="21"/>
          <w:szCs w:val="21"/>
          <w:lang w:eastAsia="zh-CN"/>
        </w:rPr>
        <w:t xml:space="preserve">CIEEM, CIRIA and IEMA (2016) Biodiversity Net Gain: Good practice principles for development. Available at: </w:t>
      </w:r>
      <w:hyperlink r:id="rId16" w:history="1">
        <w:r w:rsidRPr="00462C0B">
          <w:rPr>
            <w:rFonts w:asciiTheme="majorBidi" w:eastAsiaTheme="minorEastAsia" w:hAnsiTheme="majorBidi" w:cstheme="majorBidi"/>
            <w:color w:val="0563C1" w:themeColor="hyperlink"/>
            <w:sz w:val="21"/>
            <w:szCs w:val="21"/>
            <w:u w:val="single"/>
            <w:lang w:eastAsia="zh-CN"/>
          </w:rPr>
          <w:t>https://cieem.net/wp-content/uploads/2019/02/Biodiversity-Net-Gain-Principles.pdf</w:t>
        </w:r>
      </w:hyperlink>
      <w:r w:rsidRPr="00462C0B">
        <w:rPr>
          <w:rFonts w:asciiTheme="majorBidi" w:eastAsiaTheme="minorEastAsia" w:hAnsiTheme="majorBidi" w:cstheme="majorBidi"/>
          <w:sz w:val="21"/>
          <w:szCs w:val="21"/>
          <w:lang w:eastAsia="zh-CN"/>
        </w:rPr>
        <w:t xml:space="preserve"> </w:t>
      </w:r>
    </w:p>
    <w:p w14:paraId="7237382C"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 xml:space="preserve">Coggan, A., </w:t>
      </w:r>
      <w:proofErr w:type="spellStart"/>
      <w:r w:rsidRPr="00462C0B">
        <w:rPr>
          <w:rFonts w:asciiTheme="majorBidi" w:eastAsiaTheme="minorEastAsia" w:hAnsiTheme="majorBidi" w:cstheme="majorBidi"/>
          <w:color w:val="222222"/>
          <w:sz w:val="21"/>
          <w:szCs w:val="21"/>
          <w:shd w:val="clear" w:color="auto" w:fill="FFFFFF"/>
          <w:lang w:eastAsia="zh-CN"/>
        </w:rPr>
        <w:t>Buitelaar</w:t>
      </w:r>
      <w:proofErr w:type="spellEnd"/>
      <w:r w:rsidRPr="00462C0B">
        <w:rPr>
          <w:rFonts w:asciiTheme="majorBidi" w:eastAsiaTheme="minorEastAsia" w:hAnsiTheme="majorBidi" w:cstheme="majorBidi"/>
          <w:color w:val="222222"/>
          <w:sz w:val="21"/>
          <w:szCs w:val="21"/>
          <w:shd w:val="clear" w:color="auto" w:fill="FFFFFF"/>
          <w:lang w:eastAsia="zh-CN"/>
        </w:rPr>
        <w:t xml:space="preserve">, E., Whitten, S., &amp; Bennett, J. (2013a). Factors that influence transaction costs in development offsets: Who bears what and </w:t>
      </w:r>
      <w:proofErr w:type="gramStart"/>
      <w:r w:rsidRPr="00462C0B">
        <w:rPr>
          <w:rFonts w:asciiTheme="majorBidi" w:eastAsiaTheme="minorEastAsia" w:hAnsiTheme="majorBidi" w:cstheme="majorBidi"/>
          <w:color w:val="222222"/>
          <w:sz w:val="21"/>
          <w:szCs w:val="21"/>
          <w:shd w:val="clear" w:color="auto" w:fill="FFFFFF"/>
          <w:lang w:eastAsia="zh-CN"/>
        </w:rPr>
        <w:t>why?.</w:t>
      </w:r>
      <w:proofErr w:type="gramEnd"/>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Ecological Economics</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88</w:t>
      </w:r>
      <w:r w:rsidRPr="00462C0B">
        <w:rPr>
          <w:rFonts w:asciiTheme="majorBidi" w:eastAsiaTheme="minorEastAsia" w:hAnsiTheme="majorBidi" w:cstheme="majorBidi"/>
          <w:color w:val="222222"/>
          <w:sz w:val="21"/>
          <w:szCs w:val="21"/>
          <w:shd w:val="clear" w:color="auto" w:fill="FFFFFF"/>
          <w:lang w:eastAsia="zh-CN"/>
        </w:rPr>
        <w:t>, 222-231.</w:t>
      </w:r>
    </w:p>
    <w:p w14:paraId="4B72D703"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 xml:space="preserve">Coggan, A., </w:t>
      </w:r>
      <w:proofErr w:type="spellStart"/>
      <w:r w:rsidRPr="00462C0B">
        <w:rPr>
          <w:rFonts w:asciiTheme="majorBidi" w:eastAsiaTheme="minorEastAsia" w:hAnsiTheme="majorBidi" w:cstheme="majorBidi"/>
          <w:color w:val="222222"/>
          <w:sz w:val="21"/>
          <w:szCs w:val="21"/>
          <w:shd w:val="clear" w:color="auto" w:fill="FFFFFF"/>
          <w:lang w:eastAsia="zh-CN"/>
        </w:rPr>
        <w:t>Buitelaar</w:t>
      </w:r>
      <w:proofErr w:type="spellEnd"/>
      <w:r w:rsidRPr="00462C0B">
        <w:rPr>
          <w:rFonts w:asciiTheme="majorBidi" w:eastAsiaTheme="minorEastAsia" w:hAnsiTheme="majorBidi" w:cstheme="majorBidi"/>
          <w:color w:val="222222"/>
          <w:sz w:val="21"/>
          <w:szCs w:val="21"/>
          <w:shd w:val="clear" w:color="auto" w:fill="FFFFFF"/>
          <w:lang w:eastAsia="zh-CN"/>
        </w:rPr>
        <w:t>, E., Bennett, J., &amp; Whitten, S. M. (2013b). Transferable mitigation of environmental impacts of development: two cases of offsets in Australia. </w:t>
      </w:r>
      <w:r w:rsidRPr="00462C0B">
        <w:rPr>
          <w:rFonts w:asciiTheme="majorBidi" w:eastAsiaTheme="minorEastAsia" w:hAnsiTheme="majorBidi" w:cstheme="majorBidi"/>
          <w:i/>
          <w:iCs/>
          <w:color w:val="222222"/>
          <w:sz w:val="21"/>
          <w:szCs w:val="21"/>
          <w:shd w:val="clear" w:color="auto" w:fill="FFFFFF"/>
          <w:lang w:eastAsia="zh-CN"/>
        </w:rPr>
        <w:t>Journal of Environmental Policy &amp; Planning</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15</w:t>
      </w:r>
      <w:r w:rsidRPr="00462C0B">
        <w:rPr>
          <w:rFonts w:asciiTheme="majorBidi" w:eastAsiaTheme="minorEastAsia" w:hAnsiTheme="majorBidi" w:cstheme="majorBidi"/>
          <w:color w:val="222222"/>
          <w:sz w:val="21"/>
          <w:szCs w:val="21"/>
          <w:shd w:val="clear" w:color="auto" w:fill="FFFFFF"/>
          <w:lang w:eastAsia="zh-CN"/>
        </w:rPr>
        <w:t>(2), 303-322.</w:t>
      </w:r>
    </w:p>
    <w:p w14:paraId="0FAF5EA4"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Crooks, S., &amp; Ledoux, L. (2000). Mitigation banking: potential applications in the UK. </w:t>
      </w:r>
      <w:r w:rsidRPr="00462C0B">
        <w:rPr>
          <w:rFonts w:asciiTheme="majorBidi" w:eastAsiaTheme="minorEastAsia" w:hAnsiTheme="majorBidi" w:cstheme="majorBidi"/>
          <w:i/>
          <w:iCs/>
          <w:color w:val="222222"/>
          <w:sz w:val="21"/>
          <w:szCs w:val="21"/>
          <w:shd w:val="clear" w:color="auto" w:fill="FFFFFF"/>
          <w:lang w:eastAsia="zh-CN"/>
        </w:rPr>
        <w:t>Environmental &amp; Waste Management</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3</w:t>
      </w:r>
      <w:r w:rsidRPr="00462C0B">
        <w:rPr>
          <w:rFonts w:asciiTheme="majorBidi" w:eastAsiaTheme="minorEastAsia" w:hAnsiTheme="majorBidi" w:cstheme="majorBidi"/>
          <w:color w:val="222222"/>
          <w:sz w:val="21"/>
          <w:szCs w:val="21"/>
          <w:shd w:val="clear" w:color="auto" w:fill="FFFFFF"/>
          <w:lang w:eastAsia="zh-CN"/>
        </w:rPr>
        <w:t>(4), 215-222.</w:t>
      </w:r>
    </w:p>
    <w:p w14:paraId="55CE772B" w14:textId="4F929870" w:rsidR="00F63455"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Damiens, F. L., Porter, L., &amp; Gordon, A. (2021). The politics of biodiversity offsetting across time and institutional scales. </w:t>
      </w:r>
      <w:r w:rsidRPr="00462C0B">
        <w:rPr>
          <w:rFonts w:asciiTheme="majorBidi" w:eastAsiaTheme="minorEastAsia" w:hAnsiTheme="majorBidi" w:cstheme="majorBidi"/>
          <w:i/>
          <w:iCs/>
          <w:color w:val="222222"/>
          <w:sz w:val="21"/>
          <w:szCs w:val="21"/>
          <w:shd w:val="clear" w:color="auto" w:fill="FFFFFF"/>
          <w:lang w:eastAsia="zh-CN"/>
        </w:rPr>
        <w:t>Nature Sustainability</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4</w:t>
      </w:r>
      <w:r w:rsidRPr="00462C0B">
        <w:rPr>
          <w:rFonts w:asciiTheme="majorBidi" w:eastAsiaTheme="minorEastAsia" w:hAnsiTheme="majorBidi" w:cstheme="majorBidi"/>
          <w:color w:val="222222"/>
          <w:sz w:val="21"/>
          <w:szCs w:val="21"/>
          <w:shd w:val="clear" w:color="auto" w:fill="FFFFFF"/>
          <w:lang w:eastAsia="zh-CN"/>
        </w:rPr>
        <w:t>(2), 170-179.</w:t>
      </w:r>
    </w:p>
    <w:p w14:paraId="45EEF1D4" w14:textId="5C6E4673" w:rsidR="005309D1" w:rsidRPr="00462C0B" w:rsidRDefault="005309D1" w:rsidP="00F63455">
      <w:pPr>
        <w:spacing w:line="276" w:lineRule="auto"/>
        <w:rPr>
          <w:rFonts w:asciiTheme="majorBidi" w:eastAsiaTheme="minorEastAsia" w:hAnsiTheme="majorBidi" w:cstheme="majorBidi"/>
          <w:color w:val="222222"/>
          <w:sz w:val="21"/>
          <w:szCs w:val="21"/>
          <w:shd w:val="clear" w:color="auto" w:fill="FFFFFF"/>
          <w:lang w:eastAsia="zh-CN"/>
        </w:rPr>
      </w:pPr>
      <w:r w:rsidRPr="005309D1">
        <w:rPr>
          <w:rFonts w:asciiTheme="majorBidi" w:eastAsiaTheme="minorEastAsia" w:hAnsiTheme="majorBidi" w:cstheme="majorBidi"/>
          <w:color w:val="222222"/>
          <w:sz w:val="21"/>
          <w:szCs w:val="21"/>
          <w:shd w:val="clear" w:color="auto" w:fill="FFFFFF"/>
          <w:lang w:eastAsia="zh-CN"/>
        </w:rPr>
        <w:t xml:space="preserve">Damiens, F. L., Backstrom, A., &amp; Gordon, A. (2021). Governing for “no net loss” of biodiversity over the long term: challenges and pathways forward. </w:t>
      </w:r>
      <w:r w:rsidRPr="005309D1">
        <w:rPr>
          <w:rFonts w:asciiTheme="majorBidi" w:eastAsiaTheme="minorEastAsia" w:hAnsiTheme="majorBidi" w:cstheme="majorBidi"/>
          <w:i/>
          <w:iCs/>
          <w:color w:val="222222"/>
          <w:sz w:val="21"/>
          <w:szCs w:val="21"/>
          <w:shd w:val="clear" w:color="auto" w:fill="FFFFFF"/>
          <w:lang w:eastAsia="zh-CN"/>
        </w:rPr>
        <w:t>One Earth</w:t>
      </w:r>
      <w:r w:rsidRPr="005309D1">
        <w:rPr>
          <w:rFonts w:asciiTheme="majorBidi" w:eastAsiaTheme="minorEastAsia" w:hAnsiTheme="majorBidi" w:cstheme="majorBidi"/>
          <w:color w:val="222222"/>
          <w:sz w:val="21"/>
          <w:szCs w:val="21"/>
          <w:shd w:val="clear" w:color="auto" w:fill="FFFFFF"/>
          <w:lang w:eastAsia="zh-CN"/>
        </w:rPr>
        <w:t>, 4(1), 60-74.</w:t>
      </w:r>
    </w:p>
    <w:p w14:paraId="6CBE924C"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Defra (2011) </w:t>
      </w:r>
      <w:r w:rsidRPr="00462C0B">
        <w:rPr>
          <w:rFonts w:asciiTheme="majorBidi" w:eastAsiaTheme="minorEastAsia" w:hAnsiTheme="majorBidi" w:cstheme="majorBidi"/>
          <w:i/>
          <w:iCs/>
          <w:sz w:val="21"/>
          <w:szCs w:val="21"/>
          <w:lang w:eastAsia="en-GB"/>
        </w:rPr>
        <w:t xml:space="preserve">The Natural Choice: securing the value of nature. </w:t>
      </w:r>
      <w:r w:rsidRPr="00462C0B">
        <w:rPr>
          <w:rFonts w:asciiTheme="majorBidi" w:eastAsiaTheme="minorEastAsia" w:hAnsiTheme="majorBidi" w:cstheme="majorBidi"/>
          <w:sz w:val="21"/>
          <w:szCs w:val="21"/>
          <w:lang w:eastAsia="en-GB"/>
        </w:rPr>
        <w:t xml:space="preserve">London: HM Government. Available: </w:t>
      </w:r>
      <w:hyperlink r:id="rId17" w:tgtFrame="_blank" w:history="1">
        <w:r w:rsidRPr="00462C0B">
          <w:rPr>
            <w:rFonts w:asciiTheme="majorBidi" w:eastAsiaTheme="minorEastAsia" w:hAnsiTheme="majorBidi" w:cstheme="majorBidi"/>
            <w:color w:val="0563C1" w:themeColor="hyperlink"/>
            <w:sz w:val="21"/>
            <w:szCs w:val="21"/>
            <w:u w:val="single"/>
            <w:lang w:eastAsia="en-GB"/>
          </w:rPr>
          <w:t>https://www.gov.uk/government/uploads/system/uploads/attachment_data/file/228842/8082.pdf</w:t>
        </w:r>
      </w:hyperlink>
      <w:r w:rsidRPr="00462C0B">
        <w:rPr>
          <w:rFonts w:asciiTheme="majorBidi" w:eastAsiaTheme="minorEastAsia" w:hAnsiTheme="majorBidi" w:cstheme="majorBidi"/>
          <w:sz w:val="21"/>
          <w:szCs w:val="21"/>
          <w:lang w:eastAsia="en-GB"/>
        </w:rPr>
        <w:t xml:space="preserve">. </w:t>
      </w:r>
    </w:p>
    <w:p w14:paraId="65FF5A1B"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Defra (2013) </w:t>
      </w:r>
      <w:r w:rsidRPr="00462C0B">
        <w:rPr>
          <w:rFonts w:asciiTheme="majorBidi" w:eastAsiaTheme="minorEastAsia" w:hAnsiTheme="majorBidi" w:cstheme="majorBidi"/>
          <w:i/>
          <w:iCs/>
          <w:sz w:val="21"/>
          <w:szCs w:val="21"/>
          <w:lang w:eastAsia="en-GB"/>
        </w:rPr>
        <w:t xml:space="preserve">Biodiversity offsetting in England Green paper. </w:t>
      </w:r>
      <w:r w:rsidRPr="00462C0B">
        <w:rPr>
          <w:rFonts w:asciiTheme="majorBidi" w:eastAsiaTheme="minorEastAsia" w:hAnsiTheme="majorBidi" w:cstheme="majorBidi"/>
          <w:sz w:val="21"/>
          <w:szCs w:val="21"/>
          <w:lang w:eastAsia="en-GB"/>
        </w:rPr>
        <w:t xml:space="preserve">London: Department for Environment, Food and Rural Affairs. Available: </w:t>
      </w:r>
      <w:hyperlink r:id="rId18" w:tgtFrame="_blank" w:history="1">
        <w:r w:rsidRPr="00462C0B">
          <w:rPr>
            <w:rFonts w:asciiTheme="majorBidi" w:eastAsiaTheme="minorEastAsia" w:hAnsiTheme="majorBidi" w:cstheme="majorBidi"/>
            <w:color w:val="0563C1" w:themeColor="hyperlink"/>
            <w:sz w:val="21"/>
            <w:szCs w:val="21"/>
            <w:u w:val="single"/>
            <w:lang w:eastAsia="en-GB"/>
          </w:rPr>
          <w:t>https://consult.defra.gov.uk/biodiversity/biodiversity_offsetting/supporting_documents/20130903Biodiversity%20offsetting%20green%20paper.pdf</w:t>
        </w:r>
      </w:hyperlink>
      <w:r w:rsidRPr="00462C0B">
        <w:rPr>
          <w:rFonts w:asciiTheme="majorBidi" w:eastAsiaTheme="minorEastAsia" w:hAnsiTheme="majorBidi" w:cstheme="majorBidi"/>
          <w:sz w:val="21"/>
          <w:szCs w:val="21"/>
          <w:lang w:eastAsia="en-GB"/>
        </w:rPr>
        <w:t xml:space="preserve">. </w:t>
      </w:r>
    </w:p>
    <w:p w14:paraId="10309840"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Defra (2016) </w:t>
      </w:r>
      <w:r w:rsidRPr="00462C0B">
        <w:rPr>
          <w:rFonts w:asciiTheme="majorBidi" w:eastAsiaTheme="minorEastAsia" w:hAnsiTheme="majorBidi" w:cstheme="majorBidi"/>
          <w:i/>
          <w:iCs/>
          <w:sz w:val="21"/>
          <w:szCs w:val="21"/>
          <w:lang w:eastAsia="en-GB"/>
        </w:rPr>
        <w:t xml:space="preserve">Consultation on biodiversity offsetting in England. Summary of responses. </w:t>
      </w:r>
      <w:r w:rsidRPr="00462C0B">
        <w:rPr>
          <w:rFonts w:asciiTheme="majorBidi" w:eastAsiaTheme="minorEastAsia" w:hAnsiTheme="majorBidi" w:cstheme="majorBidi"/>
          <w:sz w:val="21"/>
          <w:szCs w:val="21"/>
          <w:lang w:eastAsia="en-GB"/>
        </w:rPr>
        <w:t xml:space="preserve">London: Department for Food, Environment and Rural Affairs. Available: </w:t>
      </w:r>
      <w:hyperlink r:id="rId19" w:tgtFrame="_blank" w:history="1">
        <w:r w:rsidRPr="00462C0B">
          <w:rPr>
            <w:rFonts w:asciiTheme="majorBidi" w:eastAsiaTheme="minorEastAsia" w:hAnsiTheme="majorBidi" w:cstheme="majorBidi"/>
            <w:color w:val="0563C1" w:themeColor="hyperlink"/>
            <w:sz w:val="21"/>
            <w:szCs w:val="21"/>
            <w:u w:val="single"/>
            <w:lang w:eastAsia="en-GB"/>
          </w:rPr>
          <w:t>https://www.gov.uk/government/consultations/biodiversity-offsetting-in-england</w:t>
        </w:r>
      </w:hyperlink>
      <w:r w:rsidRPr="00462C0B">
        <w:rPr>
          <w:rFonts w:asciiTheme="majorBidi" w:eastAsiaTheme="minorEastAsia" w:hAnsiTheme="majorBidi" w:cstheme="majorBidi"/>
          <w:sz w:val="21"/>
          <w:szCs w:val="21"/>
          <w:lang w:eastAsia="en-GB"/>
        </w:rPr>
        <w:t xml:space="preserve">. </w:t>
      </w:r>
    </w:p>
    <w:p w14:paraId="334D8BF1"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sz w:val="21"/>
          <w:szCs w:val="21"/>
          <w:lang w:eastAsia="zh-CN"/>
        </w:rPr>
        <w:t>Dessart F., Barreiro-</w:t>
      </w:r>
      <w:proofErr w:type="spellStart"/>
      <w:r w:rsidRPr="00462C0B">
        <w:rPr>
          <w:rFonts w:asciiTheme="majorBidi" w:eastAsiaTheme="minorEastAsia" w:hAnsiTheme="majorBidi" w:cstheme="majorBidi"/>
          <w:sz w:val="21"/>
          <w:szCs w:val="21"/>
          <w:lang w:eastAsia="zh-CN"/>
        </w:rPr>
        <w:t>Hurle</w:t>
      </w:r>
      <w:proofErr w:type="spellEnd"/>
      <w:r w:rsidRPr="00462C0B">
        <w:rPr>
          <w:rFonts w:asciiTheme="majorBidi" w:eastAsiaTheme="minorEastAsia" w:hAnsiTheme="majorBidi" w:cstheme="majorBidi"/>
          <w:sz w:val="21"/>
          <w:szCs w:val="21"/>
          <w:lang w:eastAsia="zh-CN"/>
        </w:rPr>
        <w:t xml:space="preserve"> J., Bavel R. (2019) “Behavioural factors affecting the adoption of sustainable farming practices: a policy-oriented review.” </w:t>
      </w:r>
      <w:r w:rsidRPr="00462C0B">
        <w:rPr>
          <w:rFonts w:asciiTheme="majorBidi" w:eastAsiaTheme="minorEastAsia" w:hAnsiTheme="majorBidi" w:cstheme="majorBidi"/>
          <w:i/>
          <w:iCs/>
          <w:sz w:val="21"/>
          <w:szCs w:val="21"/>
          <w:lang w:eastAsia="zh-CN"/>
        </w:rPr>
        <w:t>European Review of Agricultural Economics</w:t>
      </w:r>
      <w:r w:rsidRPr="00462C0B">
        <w:rPr>
          <w:rFonts w:asciiTheme="majorBidi" w:eastAsiaTheme="minorEastAsia" w:hAnsiTheme="majorBidi" w:cstheme="majorBidi"/>
          <w:sz w:val="21"/>
          <w:szCs w:val="21"/>
          <w:lang w:eastAsia="zh-CN"/>
        </w:rPr>
        <w:t xml:space="preserve"> 46(3): 417–471</w:t>
      </w:r>
    </w:p>
    <w:p w14:paraId="40FE7B56"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color w:val="222222"/>
          <w:sz w:val="21"/>
          <w:szCs w:val="21"/>
          <w:shd w:val="clear" w:color="auto" w:fill="FFFFFF"/>
          <w:lang w:eastAsia="zh-CN"/>
        </w:rPr>
        <w:t>Doherty, K. E., Naugle, D. E., &amp; Evans, J. S. (2010). A currency for offsetting energy development impacts: horse-trading sage-grouse on the open market. </w:t>
      </w:r>
      <w:proofErr w:type="spellStart"/>
      <w:r w:rsidRPr="00462C0B">
        <w:rPr>
          <w:rFonts w:asciiTheme="majorBidi" w:eastAsiaTheme="minorEastAsia" w:hAnsiTheme="majorBidi" w:cstheme="majorBidi"/>
          <w:i/>
          <w:iCs/>
          <w:color w:val="222222"/>
          <w:sz w:val="21"/>
          <w:szCs w:val="21"/>
          <w:shd w:val="clear" w:color="auto" w:fill="FFFFFF"/>
          <w:lang w:eastAsia="zh-CN"/>
        </w:rPr>
        <w:t>PLoS</w:t>
      </w:r>
      <w:proofErr w:type="spellEnd"/>
      <w:r w:rsidRPr="00462C0B">
        <w:rPr>
          <w:rFonts w:asciiTheme="majorBidi" w:eastAsiaTheme="minorEastAsia" w:hAnsiTheme="majorBidi" w:cstheme="majorBidi"/>
          <w:i/>
          <w:iCs/>
          <w:color w:val="222222"/>
          <w:sz w:val="21"/>
          <w:szCs w:val="21"/>
          <w:shd w:val="clear" w:color="auto" w:fill="FFFFFF"/>
          <w:lang w:eastAsia="zh-CN"/>
        </w:rPr>
        <w:t xml:space="preserve"> One</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5</w:t>
      </w:r>
      <w:r w:rsidRPr="00462C0B">
        <w:rPr>
          <w:rFonts w:asciiTheme="majorBidi" w:eastAsiaTheme="minorEastAsia" w:hAnsiTheme="majorBidi" w:cstheme="majorBidi"/>
          <w:color w:val="222222"/>
          <w:sz w:val="21"/>
          <w:szCs w:val="21"/>
          <w:shd w:val="clear" w:color="auto" w:fill="FFFFFF"/>
          <w:lang w:eastAsia="zh-CN"/>
        </w:rPr>
        <w:t>(4), e10339.</w:t>
      </w:r>
    </w:p>
    <w:p w14:paraId="7DCE6376"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 xml:space="preserve">Doka, S. E., Minns, C. K., Valere, B. G., Cooke, S. J., </w:t>
      </w:r>
      <w:proofErr w:type="spellStart"/>
      <w:r w:rsidRPr="00462C0B">
        <w:rPr>
          <w:rFonts w:asciiTheme="majorBidi" w:eastAsiaTheme="minorEastAsia" w:hAnsiTheme="majorBidi" w:cstheme="majorBidi"/>
          <w:color w:val="222222"/>
          <w:sz w:val="21"/>
          <w:szCs w:val="21"/>
          <w:shd w:val="clear" w:color="auto" w:fill="FFFFFF"/>
          <w:lang w:eastAsia="zh-CN"/>
        </w:rPr>
        <w:t>Portiss</w:t>
      </w:r>
      <w:proofErr w:type="spellEnd"/>
      <w:r w:rsidRPr="00462C0B">
        <w:rPr>
          <w:rFonts w:asciiTheme="majorBidi" w:eastAsiaTheme="minorEastAsia" w:hAnsiTheme="majorBidi" w:cstheme="majorBidi"/>
          <w:color w:val="222222"/>
          <w:sz w:val="21"/>
          <w:szCs w:val="21"/>
          <w:shd w:val="clear" w:color="auto" w:fill="FFFFFF"/>
          <w:lang w:eastAsia="zh-CN"/>
        </w:rPr>
        <w:t>, R. J., Sciscione, T. F., &amp; Rose, A. (2022). An Ecological Accounting System for Integrated Aquatic Planning and Habitat Banking with Case Study on the Toronto Waterfront, Ontario, Canada. </w:t>
      </w:r>
      <w:r w:rsidRPr="00462C0B">
        <w:rPr>
          <w:rFonts w:asciiTheme="majorBidi" w:eastAsiaTheme="minorEastAsia" w:hAnsiTheme="majorBidi" w:cstheme="majorBidi"/>
          <w:i/>
          <w:iCs/>
          <w:color w:val="222222"/>
          <w:sz w:val="21"/>
          <w:szCs w:val="21"/>
          <w:shd w:val="clear" w:color="auto" w:fill="FFFFFF"/>
          <w:lang w:eastAsia="zh-CN"/>
        </w:rPr>
        <w:t>Environmental management</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69</w:t>
      </w:r>
      <w:r w:rsidRPr="00462C0B">
        <w:rPr>
          <w:rFonts w:asciiTheme="majorBidi" w:eastAsiaTheme="minorEastAsia" w:hAnsiTheme="majorBidi" w:cstheme="majorBidi"/>
          <w:color w:val="222222"/>
          <w:sz w:val="21"/>
          <w:szCs w:val="21"/>
          <w:shd w:val="clear" w:color="auto" w:fill="FFFFFF"/>
          <w:lang w:eastAsia="zh-CN"/>
        </w:rPr>
        <w:t>(5), 952-971.</w:t>
      </w:r>
    </w:p>
    <w:p w14:paraId="71CAA22C"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Doyle, M. W., &amp; Yates, A. J. (2010). Stream ecosystem service markets under no-net-loss regulation. </w:t>
      </w:r>
      <w:r w:rsidRPr="00462C0B">
        <w:rPr>
          <w:rFonts w:asciiTheme="majorBidi" w:eastAsiaTheme="minorEastAsia" w:hAnsiTheme="majorBidi" w:cstheme="majorBidi"/>
          <w:i/>
          <w:iCs/>
          <w:color w:val="222222"/>
          <w:sz w:val="21"/>
          <w:szCs w:val="21"/>
          <w:shd w:val="clear" w:color="auto" w:fill="FFFFFF"/>
          <w:lang w:eastAsia="zh-CN"/>
        </w:rPr>
        <w:t>Ecological Economics</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69</w:t>
      </w:r>
      <w:r w:rsidRPr="00462C0B">
        <w:rPr>
          <w:rFonts w:asciiTheme="majorBidi" w:eastAsiaTheme="minorEastAsia" w:hAnsiTheme="majorBidi" w:cstheme="majorBidi"/>
          <w:color w:val="222222"/>
          <w:sz w:val="21"/>
          <w:szCs w:val="21"/>
          <w:shd w:val="clear" w:color="auto" w:fill="FFFFFF"/>
          <w:lang w:eastAsia="zh-CN"/>
        </w:rPr>
        <w:t>(4), 820-827.</w:t>
      </w:r>
    </w:p>
    <w:p w14:paraId="05BC5904" w14:textId="0D919873" w:rsidR="00F63455"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Drechsler, M. (2021). Bundling of Ecosystem Services in Conservation Offsets: Risks and How They Can Be Avoided. </w:t>
      </w:r>
      <w:r w:rsidRPr="00462C0B">
        <w:rPr>
          <w:rFonts w:asciiTheme="majorBidi" w:eastAsiaTheme="minorEastAsia" w:hAnsiTheme="majorBidi" w:cstheme="majorBidi"/>
          <w:i/>
          <w:iCs/>
          <w:color w:val="222222"/>
          <w:sz w:val="21"/>
          <w:szCs w:val="21"/>
          <w:shd w:val="clear" w:color="auto" w:fill="FFFFFF"/>
          <w:lang w:eastAsia="zh-CN"/>
        </w:rPr>
        <w:t>Land</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10</w:t>
      </w:r>
      <w:r w:rsidRPr="00462C0B">
        <w:rPr>
          <w:rFonts w:asciiTheme="majorBidi" w:eastAsiaTheme="minorEastAsia" w:hAnsiTheme="majorBidi" w:cstheme="majorBidi"/>
          <w:color w:val="222222"/>
          <w:sz w:val="21"/>
          <w:szCs w:val="21"/>
          <w:shd w:val="clear" w:color="auto" w:fill="FFFFFF"/>
          <w:lang w:eastAsia="zh-CN"/>
        </w:rPr>
        <w:t>(6), 628.</w:t>
      </w:r>
    </w:p>
    <w:p w14:paraId="2592321F" w14:textId="05402561" w:rsidR="005309D1" w:rsidRPr="00462C0B" w:rsidRDefault="005309D1" w:rsidP="00F63455">
      <w:pPr>
        <w:spacing w:line="276" w:lineRule="auto"/>
        <w:rPr>
          <w:rFonts w:asciiTheme="majorBidi" w:eastAsiaTheme="minorEastAsia" w:hAnsiTheme="majorBidi" w:cstheme="majorBidi"/>
          <w:sz w:val="21"/>
          <w:szCs w:val="21"/>
          <w:lang w:eastAsia="zh-CN"/>
        </w:rPr>
      </w:pPr>
      <w:proofErr w:type="spellStart"/>
      <w:r>
        <w:rPr>
          <w:rFonts w:asciiTheme="majorBidi" w:eastAsiaTheme="minorEastAsia" w:hAnsiTheme="majorBidi" w:cstheme="majorBidi"/>
          <w:color w:val="222222"/>
          <w:sz w:val="21"/>
          <w:szCs w:val="21"/>
          <w:shd w:val="clear" w:color="auto" w:fill="FFFFFF"/>
          <w:lang w:eastAsia="zh-CN"/>
        </w:rPr>
        <w:t>Eftec</w:t>
      </w:r>
      <w:proofErr w:type="spellEnd"/>
      <w:r>
        <w:rPr>
          <w:rFonts w:asciiTheme="majorBidi" w:eastAsiaTheme="minorEastAsia" w:hAnsiTheme="majorBidi" w:cstheme="majorBidi"/>
          <w:color w:val="222222"/>
          <w:sz w:val="21"/>
          <w:szCs w:val="21"/>
          <w:shd w:val="clear" w:color="auto" w:fill="FFFFFF"/>
          <w:lang w:eastAsia="zh-CN"/>
        </w:rPr>
        <w:t xml:space="preserve"> (2021). </w:t>
      </w:r>
      <w:r w:rsidR="00714577" w:rsidRPr="00714577">
        <w:rPr>
          <w:rFonts w:asciiTheme="majorBidi" w:eastAsiaTheme="minorEastAsia" w:hAnsiTheme="majorBidi" w:cstheme="majorBidi"/>
          <w:color w:val="222222"/>
          <w:sz w:val="21"/>
          <w:szCs w:val="21"/>
          <w:shd w:val="clear" w:color="auto" w:fill="FFFFFF"/>
          <w:lang w:eastAsia="zh-CN"/>
        </w:rPr>
        <w:t>Biodiversity Net Gain: Market analysis study</w:t>
      </w:r>
      <w:r w:rsidR="00714577">
        <w:rPr>
          <w:rFonts w:asciiTheme="majorBidi" w:eastAsiaTheme="minorEastAsia" w:hAnsiTheme="majorBidi" w:cstheme="majorBidi"/>
          <w:color w:val="222222"/>
          <w:sz w:val="21"/>
          <w:szCs w:val="21"/>
          <w:shd w:val="clear" w:color="auto" w:fill="FFFFFF"/>
          <w:lang w:eastAsia="zh-CN"/>
        </w:rPr>
        <w:t xml:space="preserve">. Online. Available at: </w:t>
      </w:r>
      <w:hyperlink r:id="rId20" w:history="1">
        <w:r w:rsidR="00C74898" w:rsidRPr="007B225E">
          <w:rPr>
            <w:rStyle w:val="Hyperlink"/>
            <w:rFonts w:asciiTheme="majorBidi" w:eastAsiaTheme="minorEastAsia" w:hAnsiTheme="majorBidi" w:cstheme="majorBidi"/>
            <w:sz w:val="21"/>
            <w:szCs w:val="21"/>
            <w:shd w:val="clear" w:color="auto" w:fill="FFFFFF"/>
            <w:lang w:eastAsia="zh-CN"/>
          </w:rPr>
          <w:t>http://randd.defra.gov.uk/Default.aspx?Menu=Menu&amp;Module=More&amp;Location=None&amp;ProjectID=20608</w:t>
        </w:r>
      </w:hyperlink>
      <w:r w:rsidR="00C74898">
        <w:rPr>
          <w:rFonts w:asciiTheme="majorBidi" w:eastAsiaTheme="minorEastAsia" w:hAnsiTheme="majorBidi" w:cstheme="majorBidi"/>
          <w:color w:val="222222"/>
          <w:sz w:val="21"/>
          <w:szCs w:val="21"/>
          <w:shd w:val="clear" w:color="auto" w:fill="FFFFFF"/>
          <w:lang w:eastAsia="zh-CN"/>
        </w:rPr>
        <w:t xml:space="preserve"> </w:t>
      </w:r>
    </w:p>
    <w:p w14:paraId="25AF98A4" w14:textId="3BF17D4C"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sz w:val="21"/>
          <w:szCs w:val="21"/>
          <w:lang w:eastAsia="zh-CN"/>
        </w:rPr>
        <w:t xml:space="preserve">Environmental Protection Agency (2022). Mitigation Banks under CWA Section 404. Online: </w:t>
      </w:r>
      <w:hyperlink r:id="rId21" w:anchor=":~:text=A%20mitigation%20bank%20is%20a,state%20or%20local%20wetland%20regulation" w:history="1">
        <w:r w:rsidRPr="00462C0B">
          <w:rPr>
            <w:rFonts w:asciiTheme="majorBidi" w:eastAsiaTheme="minorEastAsia" w:hAnsiTheme="majorBidi" w:cstheme="majorBidi"/>
            <w:color w:val="0563C1" w:themeColor="hyperlink"/>
            <w:sz w:val="21"/>
            <w:szCs w:val="21"/>
            <w:u w:val="single"/>
            <w:lang w:eastAsia="zh-CN"/>
          </w:rPr>
          <w:t>https://www.epa.gov/cwa-404/mitigation-banks-under-cwa-section-404#:~:text=A%20mitigation%20bank%20is%20a,state%20or%20local%20wetland%20regulation</w:t>
        </w:r>
      </w:hyperlink>
      <w:r w:rsidRPr="00462C0B">
        <w:rPr>
          <w:rFonts w:asciiTheme="majorBidi" w:eastAsiaTheme="minorEastAsia" w:hAnsiTheme="majorBidi" w:cstheme="majorBidi"/>
          <w:sz w:val="21"/>
          <w:szCs w:val="21"/>
          <w:lang w:eastAsia="zh-CN"/>
        </w:rPr>
        <w:t xml:space="preserve">. </w:t>
      </w:r>
    </w:p>
    <w:p w14:paraId="5083F0EF" w14:textId="77777777" w:rsidR="00976CBB" w:rsidRPr="00462C0B" w:rsidRDefault="00976CBB" w:rsidP="00976CBB">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zu Ermgassen, S. O., Marsh, S., Ryland, K., Church, E., Marsh, R., &amp; Bull, J. W. (2021). Exploring the ecological outcomes of mandatory biodiversity net gain using evidence from early‐adopter jurisdictions in England. </w:t>
      </w:r>
      <w:r w:rsidRPr="00462C0B">
        <w:rPr>
          <w:rFonts w:asciiTheme="majorBidi" w:eastAsiaTheme="minorEastAsia" w:hAnsiTheme="majorBidi" w:cstheme="majorBidi"/>
          <w:i/>
          <w:iCs/>
          <w:color w:val="222222"/>
          <w:sz w:val="21"/>
          <w:szCs w:val="21"/>
          <w:shd w:val="clear" w:color="auto" w:fill="FFFFFF"/>
          <w:lang w:eastAsia="zh-CN"/>
        </w:rPr>
        <w:t>Conservation Letters</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14</w:t>
      </w:r>
      <w:r w:rsidRPr="00462C0B">
        <w:rPr>
          <w:rFonts w:asciiTheme="majorBidi" w:eastAsiaTheme="minorEastAsia" w:hAnsiTheme="majorBidi" w:cstheme="majorBidi"/>
          <w:color w:val="222222"/>
          <w:sz w:val="21"/>
          <w:szCs w:val="21"/>
          <w:shd w:val="clear" w:color="auto" w:fill="FFFFFF"/>
          <w:lang w:eastAsia="zh-CN"/>
        </w:rPr>
        <w:t>(6), e12820.</w:t>
      </w:r>
    </w:p>
    <w:p w14:paraId="70BED7D0" w14:textId="77777777" w:rsidR="00976CBB" w:rsidRPr="00462C0B" w:rsidRDefault="00976CBB" w:rsidP="00976CBB">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sz w:val="21"/>
          <w:szCs w:val="21"/>
          <w:lang w:eastAsia="zh-CN"/>
        </w:rPr>
        <w:t xml:space="preserve">zu Ermgassen, S. O., Maron, M., Walker, C. M. C., Gordon, A., Simmonds, J. S., Strange, N., ... &amp; Bull, J. W. (2020). The hidden biodiversity risks of increasing flexibility in biodiversity offset trades. </w:t>
      </w:r>
      <w:r w:rsidRPr="00462C0B">
        <w:rPr>
          <w:rFonts w:asciiTheme="majorBidi" w:eastAsiaTheme="minorEastAsia" w:hAnsiTheme="majorBidi" w:cstheme="majorBidi"/>
          <w:i/>
          <w:iCs/>
          <w:sz w:val="21"/>
          <w:szCs w:val="21"/>
          <w:lang w:eastAsia="zh-CN"/>
        </w:rPr>
        <w:t>Biological Conservation</w:t>
      </w:r>
      <w:r w:rsidRPr="00462C0B">
        <w:rPr>
          <w:rFonts w:asciiTheme="majorBidi" w:eastAsiaTheme="minorEastAsia" w:hAnsiTheme="majorBidi" w:cstheme="majorBidi"/>
          <w:sz w:val="21"/>
          <w:szCs w:val="21"/>
          <w:lang w:eastAsia="zh-CN"/>
        </w:rPr>
        <w:t>, 252, 108861.</w:t>
      </w:r>
    </w:p>
    <w:p w14:paraId="646A4258" w14:textId="77777777" w:rsidR="00976CBB" w:rsidRPr="00462C0B" w:rsidRDefault="00976CBB" w:rsidP="00976CBB">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color w:val="222222"/>
          <w:sz w:val="21"/>
          <w:szCs w:val="21"/>
          <w:shd w:val="clear" w:color="auto" w:fill="FFFFFF"/>
          <w:lang w:eastAsia="zh-CN"/>
        </w:rPr>
        <w:t xml:space="preserve">zu Ermgassen, S. O., Baker, J., Griffiths, R. A., Strange, N., </w:t>
      </w:r>
      <w:proofErr w:type="spellStart"/>
      <w:r w:rsidRPr="00462C0B">
        <w:rPr>
          <w:rFonts w:asciiTheme="majorBidi" w:eastAsiaTheme="minorEastAsia" w:hAnsiTheme="majorBidi" w:cstheme="majorBidi"/>
          <w:color w:val="222222"/>
          <w:sz w:val="21"/>
          <w:szCs w:val="21"/>
          <w:shd w:val="clear" w:color="auto" w:fill="FFFFFF"/>
          <w:lang w:eastAsia="zh-CN"/>
        </w:rPr>
        <w:t>Struebig</w:t>
      </w:r>
      <w:proofErr w:type="spellEnd"/>
      <w:r w:rsidRPr="00462C0B">
        <w:rPr>
          <w:rFonts w:asciiTheme="majorBidi" w:eastAsiaTheme="minorEastAsia" w:hAnsiTheme="majorBidi" w:cstheme="majorBidi"/>
          <w:color w:val="222222"/>
          <w:sz w:val="21"/>
          <w:szCs w:val="21"/>
          <w:shd w:val="clear" w:color="auto" w:fill="FFFFFF"/>
          <w:lang w:eastAsia="zh-CN"/>
        </w:rPr>
        <w:t>, M. J., &amp; Bull, J. W. (2019). The ecological outcomes of biodiversity offsets under “no net loss” policies: A global review. </w:t>
      </w:r>
      <w:r w:rsidRPr="00462C0B">
        <w:rPr>
          <w:rFonts w:asciiTheme="majorBidi" w:eastAsiaTheme="minorEastAsia" w:hAnsiTheme="majorBidi" w:cstheme="majorBidi"/>
          <w:i/>
          <w:iCs/>
          <w:color w:val="222222"/>
          <w:sz w:val="21"/>
          <w:szCs w:val="21"/>
          <w:shd w:val="clear" w:color="auto" w:fill="FFFFFF"/>
          <w:lang w:eastAsia="zh-CN"/>
        </w:rPr>
        <w:t>Conservation Letters</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12</w:t>
      </w:r>
      <w:r w:rsidRPr="00462C0B">
        <w:rPr>
          <w:rFonts w:asciiTheme="majorBidi" w:eastAsiaTheme="minorEastAsia" w:hAnsiTheme="majorBidi" w:cstheme="majorBidi"/>
          <w:color w:val="222222"/>
          <w:sz w:val="21"/>
          <w:szCs w:val="21"/>
          <w:shd w:val="clear" w:color="auto" w:fill="FFFFFF"/>
          <w:lang w:eastAsia="zh-CN"/>
        </w:rPr>
        <w:t>(6), e12664.</w:t>
      </w:r>
    </w:p>
    <w:p w14:paraId="5C7F892B"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Fernandez, L., &amp; Karp, L. (1998). Restoring wetlands through wetlands mitigation banks. </w:t>
      </w:r>
      <w:r w:rsidRPr="00462C0B">
        <w:rPr>
          <w:rFonts w:asciiTheme="majorBidi" w:eastAsiaTheme="minorEastAsia" w:hAnsiTheme="majorBidi" w:cstheme="majorBidi"/>
          <w:i/>
          <w:iCs/>
          <w:color w:val="222222"/>
          <w:sz w:val="21"/>
          <w:szCs w:val="21"/>
          <w:shd w:val="clear" w:color="auto" w:fill="FFFFFF"/>
          <w:lang w:eastAsia="zh-CN"/>
        </w:rPr>
        <w:t>Environmental and Resource Economics</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12</w:t>
      </w:r>
      <w:r w:rsidRPr="00462C0B">
        <w:rPr>
          <w:rFonts w:asciiTheme="majorBidi" w:eastAsiaTheme="minorEastAsia" w:hAnsiTheme="majorBidi" w:cstheme="majorBidi"/>
          <w:color w:val="222222"/>
          <w:sz w:val="21"/>
          <w:szCs w:val="21"/>
          <w:shd w:val="clear" w:color="auto" w:fill="FFFFFF"/>
          <w:lang w:eastAsia="zh-CN"/>
        </w:rPr>
        <w:t>(3), 323-344.</w:t>
      </w:r>
    </w:p>
    <w:p w14:paraId="23BE1C4D"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proofErr w:type="spellStart"/>
      <w:r w:rsidRPr="00462C0B">
        <w:rPr>
          <w:rFonts w:asciiTheme="majorBidi" w:eastAsiaTheme="minorEastAsia" w:hAnsiTheme="majorBidi" w:cstheme="majorBidi"/>
          <w:color w:val="222222"/>
          <w:sz w:val="21"/>
          <w:szCs w:val="21"/>
          <w:shd w:val="clear" w:color="auto" w:fill="FFFFFF"/>
          <w:lang w:eastAsia="zh-CN"/>
        </w:rPr>
        <w:t>Gelot</w:t>
      </w:r>
      <w:proofErr w:type="spellEnd"/>
      <w:r w:rsidRPr="00462C0B">
        <w:rPr>
          <w:rFonts w:asciiTheme="majorBidi" w:eastAsiaTheme="minorEastAsia" w:hAnsiTheme="majorBidi" w:cstheme="majorBidi"/>
          <w:color w:val="222222"/>
          <w:sz w:val="21"/>
          <w:szCs w:val="21"/>
          <w:shd w:val="clear" w:color="auto" w:fill="FFFFFF"/>
          <w:lang w:eastAsia="zh-CN"/>
        </w:rPr>
        <w:t>, S., &amp; Bigard, C. (2021). Challenges to developing mitigation hierarchy policy: findings from a nationwide database analysis in France. </w:t>
      </w:r>
      <w:r w:rsidRPr="00462C0B">
        <w:rPr>
          <w:rFonts w:asciiTheme="majorBidi" w:eastAsiaTheme="minorEastAsia" w:hAnsiTheme="majorBidi" w:cstheme="majorBidi"/>
          <w:i/>
          <w:iCs/>
          <w:color w:val="222222"/>
          <w:sz w:val="21"/>
          <w:szCs w:val="21"/>
          <w:shd w:val="clear" w:color="auto" w:fill="FFFFFF"/>
          <w:lang w:eastAsia="zh-CN"/>
        </w:rPr>
        <w:t>Biological Conservation</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263</w:t>
      </w:r>
      <w:r w:rsidRPr="00462C0B">
        <w:rPr>
          <w:rFonts w:asciiTheme="majorBidi" w:eastAsiaTheme="minorEastAsia" w:hAnsiTheme="majorBidi" w:cstheme="majorBidi"/>
          <w:color w:val="222222"/>
          <w:sz w:val="21"/>
          <w:szCs w:val="21"/>
          <w:shd w:val="clear" w:color="auto" w:fill="FFFFFF"/>
          <w:lang w:eastAsia="zh-CN"/>
        </w:rPr>
        <w:t>, 109343.</w:t>
      </w:r>
    </w:p>
    <w:p w14:paraId="4F507C1B"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color w:val="222222"/>
          <w:sz w:val="21"/>
          <w:szCs w:val="21"/>
          <w:shd w:val="clear" w:color="auto" w:fill="FFFFFF"/>
          <w:lang w:eastAsia="zh-CN"/>
        </w:rPr>
        <w:t xml:space="preserve">Gibbons, P., Evans, M.C., Maron, M., Gordon, A., Le Roux, D., von Hase, A., Lindenmayer, D.B. and </w:t>
      </w:r>
      <w:proofErr w:type="spellStart"/>
      <w:r w:rsidRPr="00462C0B">
        <w:rPr>
          <w:rFonts w:asciiTheme="majorBidi" w:eastAsiaTheme="minorEastAsia" w:hAnsiTheme="majorBidi" w:cstheme="majorBidi"/>
          <w:color w:val="222222"/>
          <w:sz w:val="21"/>
          <w:szCs w:val="21"/>
          <w:shd w:val="clear" w:color="auto" w:fill="FFFFFF"/>
          <w:lang w:eastAsia="zh-CN"/>
        </w:rPr>
        <w:t>Possingham</w:t>
      </w:r>
      <w:proofErr w:type="spellEnd"/>
      <w:r w:rsidRPr="00462C0B">
        <w:rPr>
          <w:rFonts w:asciiTheme="majorBidi" w:eastAsiaTheme="minorEastAsia" w:hAnsiTheme="majorBidi" w:cstheme="majorBidi"/>
          <w:color w:val="222222"/>
          <w:sz w:val="21"/>
          <w:szCs w:val="21"/>
          <w:shd w:val="clear" w:color="auto" w:fill="FFFFFF"/>
          <w:lang w:eastAsia="zh-CN"/>
        </w:rPr>
        <w:t>, H.P., 2016. A loss‐gain calculator for biodiversity offsets and the circumstances in which no net loss is feasible. </w:t>
      </w:r>
      <w:r w:rsidRPr="00462C0B">
        <w:rPr>
          <w:rFonts w:asciiTheme="majorBidi" w:eastAsiaTheme="minorEastAsia" w:hAnsiTheme="majorBidi" w:cstheme="majorBidi"/>
          <w:i/>
          <w:iCs/>
          <w:color w:val="222222"/>
          <w:sz w:val="21"/>
          <w:szCs w:val="21"/>
          <w:shd w:val="clear" w:color="auto" w:fill="FFFFFF"/>
          <w:lang w:eastAsia="zh-CN"/>
        </w:rPr>
        <w:t>Conservation Letters</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9</w:t>
      </w:r>
      <w:r w:rsidRPr="00462C0B">
        <w:rPr>
          <w:rFonts w:asciiTheme="majorBidi" w:eastAsiaTheme="minorEastAsia" w:hAnsiTheme="majorBidi" w:cstheme="majorBidi"/>
          <w:color w:val="222222"/>
          <w:sz w:val="21"/>
          <w:szCs w:val="21"/>
          <w:shd w:val="clear" w:color="auto" w:fill="FFFFFF"/>
          <w:lang w:eastAsia="zh-CN"/>
        </w:rPr>
        <w:t>(4), 252-259.</w:t>
      </w:r>
    </w:p>
    <w:p w14:paraId="5DB5F23F"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Grimm, M. (2020). Conserving biodiversity through offsets? Findings from an empirical study on conservation banking. </w:t>
      </w:r>
      <w:r w:rsidRPr="00462C0B">
        <w:rPr>
          <w:rFonts w:asciiTheme="majorBidi" w:eastAsiaTheme="minorEastAsia" w:hAnsiTheme="majorBidi" w:cstheme="majorBidi"/>
          <w:i/>
          <w:iCs/>
          <w:color w:val="222222"/>
          <w:sz w:val="21"/>
          <w:szCs w:val="21"/>
          <w:shd w:val="clear" w:color="auto" w:fill="FFFFFF"/>
          <w:lang w:eastAsia="zh-CN"/>
        </w:rPr>
        <w:t>Journal for Nature Conservation</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57</w:t>
      </w:r>
      <w:r w:rsidRPr="00462C0B">
        <w:rPr>
          <w:rFonts w:asciiTheme="majorBidi" w:eastAsiaTheme="minorEastAsia" w:hAnsiTheme="majorBidi" w:cstheme="majorBidi"/>
          <w:color w:val="222222"/>
          <w:sz w:val="21"/>
          <w:szCs w:val="21"/>
          <w:shd w:val="clear" w:color="auto" w:fill="FFFFFF"/>
          <w:lang w:eastAsia="zh-CN"/>
        </w:rPr>
        <w:t>, 125871.</w:t>
      </w:r>
    </w:p>
    <w:p w14:paraId="281B3DF2"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color w:val="222222"/>
          <w:sz w:val="21"/>
          <w:szCs w:val="21"/>
          <w:shd w:val="clear" w:color="auto" w:fill="FFFFFF"/>
          <w:lang w:eastAsia="zh-CN"/>
        </w:rPr>
        <w:lastRenderedPageBreak/>
        <w:t>Grimm, M. (2021). Metrics and equivalence in conservation banking. </w:t>
      </w:r>
      <w:r w:rsidRPr="00462C0B">
        <w:rPr>
          <w:rFonts w:asciiTheme="majorBidi" w:eastAsiaTheme="minorEastAsia" w:hAnsiTheme="majorBidi" w:cstheme="majorBidi"/>
          <w:i/>
          <w:iCs/>
          <w:color w:val="222222"/>
          <w:sz w:val="21"/>
          <w:szCs w:val="21"/>
          <w:shd w:val="clear" w:color="auto" w:fill="FFFFFF"/>
          <w:lang w:eastAsia="zh-CN"/>
        </w:rPr>
        <w:t>Land</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10</w:t>
      </w:r>
      <w:r w:rsidRPr="00462C0B">
        <w:rPr>
          <w:rFonts w:asciiTheme="majorBidi" w:eastAsiaTheme="minorEastAsia" w:hAnsiTheme="majorBidi" w:cstheme="majorBidi"/>
          <w:color w:val="222222"/>
          <w:sz w:val="21"/>
          <w:szCs w:val="21"/>
          <w:shd w:val="clear" w:color="auto" w:fill="FFFFFF"/>
          <w:lang w:eastAsia="zh-CN"/>
        </w:rPr>
        <w:t>(6), 565.</w:t>
      </w:r>
    </w:p>
    <w:p w14:paraId="38242556"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sz w:val="21"/>
          <w:szCs w:val="21"/>
          <w:lang w:eastAsia="zh-CN"/>
        </w:rPr>
        <w:t>Habib, T.J., Farr, D.R., Schneider, R.R. and Boutin, S., (2013). Economic and ecological outcomes of flexible biodiversity offset systems. </w:t>
      </w:r>
      <w:r w:rsidRPr="00462C0B">
        <w:rPr>
          <w:rFonts w:asciiTheme="majorBidi" w:eastAsiaTheme="minorEastAsia" w:hAnsiTheme="majorBidi" w:cstheme="majorBidi"/>
          <w:i/>
          <w:iCs/>
          <w:sz w:val="21"/>
          <w:szCs w:val="21"/>
          <w:lang w:eastAsia="zh-CN"/>
        </w:rPr>
        <w:t>Conservation Biology</w:t>
      </w:r>
      <w:r w:rsidRPr="00462C0B">
        <w:rPr>
          <w:rFonts w:asciiTheme="majorBidi" w:eastAsiaTheme="minorEastAsia" w:hAnsiTheme="majorBidi" w:cstheme="majorBidi"/>
          <w:sz w:val="21"/>
          <w:szCs w:val="21"/>
          <w:lang w:eastAsia="zh-CN"/>
        </w:rPr>
        <w:t>, 27(6), 1313-1323.</w:t>
      </w:r>
    </w:p>
    <w:p w14:paraId="5DB92577"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sz w:val="21"/>
          <w:szCs w:val="21"/>
          <w:lang w:eastAsia="zh-CN"/>
        </w:rPr>
        <w:t>Hallwood, P., (2007). Contractual difficulties in environmental management: the case of wetland mitigation banking. </w:t>
      </w:r>
      <w:r w:rsidRPr="00462C0B">
        <w:rPr>
          <w:rFonts w:asciiTheme="majorBidi" w:eastAsiaTheme="minorEastAsia" w:hAnsiTheme="majorBidi" w:cstheme="majorBidi"/>
          <w:i/>
          <w:iCs/>
          <w:sz w:val="21"/>
          <w:szCs w:val="21"/>
          <w:lang w:eastAsia="zh-CN"/>
        </w:rPr>
        <w:t>Ecological Economics</w:t>
      </w:r>
      <w:r w:rsidRPr="00462C0B">
        <w:rPr>
          <w:rFonts w:asciiTheme="majorBidi" w:eastAsiaTheme="minorEastAsia" w:hAnsiTheme="majorBidi" w:cstheme="majorBidi"/>
          <w:sz w:val="21"/>
          <w:szCs w:val="21"/>
          <w:lang w:eastAsia="zh-CN"/>
        </w:rPr>
        <w:t>, 63(2-3), 446-451.</w:t>
      </w:r>
    </w:p>
    <w:p w14:paraId="22DF1C2D"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Heal, G.M. (2003) Arbitrage, Options and Endangered Species. </w:t>
      </w:r>
      <w:r w:rsidRPr="00462C0B">
        <w:rPr>
          <w:rFonts w:asciiTheme="majorBidi" w:eastAsiaTheme="minorEastAsia" w:hAnsiTheme="majorBidi" w:cstheme="majorBidi"/>
          <w:i/>
          <w:iCs/>
          <w:sz w:val="21"/>
          <w:szCs w:val="21"/>
          <w:lang w:eastAsia="en-GB"/>
        </w:rPr>
        <w:t xml:space="preserve">Available at SSRN 457330. </w:t>
      </w:r>
    </w:p>
    <w:p w14:paraId="6448AAEF"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sz w:val="21"/>
          <w:szCs w:val="21"/>
          <w:lang w:eastAsia="zh-CN"/>
        </w:rPr>
        <w:t>Kangas, J. and Ollikainen, M., (2019). Economic insights in ecological compensations: market analysis with an empirical application to the Finnish economy. </w:t>
      </w:r>
      <w:r w:rsidRPr="00462C0B">
        <w:rPr>
          <w:rFonts w:asciiTheme="majorBidi" w:eastAsiaTheme="minorEastAsia" w:hAnsiTheme="majorBidi" w:cstheme="majorBidi"/>
          <w:i/>
          <w:iCs/>
          <w:sz w:val="21"/>
          <w:szCs w:val="21"/>
          <w:lang w:eastAsia="zh-CN"/>
        </w:rPr>
        <w:t>Ecological Economics</w:t>
      </w:r>
      <w:r w:rsidRPr="00462C0B">
        <w:rPr>
          <w:rFonts w:asciiTheme="majorBidi" w:eastAsiaTheme="minorEastAsia" w:hAnsiTheme="majorBidi" w:cstheme="majorBidi"/>
          <w:sz w:val="21"/>
          <w:szCs w:val="21"/>
          <w:lang w:eastAsia="zh-CN"/>
        </w:rPr>
        <w:t>, 159, 54-67.</w:t>
      </w:r>
    </w:p>
    <w:p w14:paraId="52D282B1"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proofErr w:type="spellStart"/>
      <w:r w:rsidRPr="00462C0B">
        <w:rPr>
          <w:rFonts w:asciiTheme="majorBidi" w:eastAsiaTheme="minorEastAsia" w:hAnsiTheme="majorBidi" w:cstheme="majorBidi"/>
          <w:sz w:val="21"/>
          <w:szCs w:val="21"/>
          <w:lang w:eastAsia="zh-CN"/>
        </w:rPr>
        <w:t>Levrel</w:t>
      </w:r>
      <w:proofErr w:type="spellEnd"/>
      <w:r w:rsidRPr="00462C0B">
        <w:rPr>
          <w:rFonts w:asciiTheme="majorBidi" w:eastAsiaTheme="minorEastAsia" w:hAnsiTheme="majorBidi" w:cstheme="majorBidi"/>
          <w:sz w:val="21"/>
          <w:szCs w:val="21"/>
          <w:lang w:eastAsia="zh-CN"/>
        </w:rPr>
        <w:t xml:space="preserve">, H., </w:t>
      </w:r>
      <w:proofErr w:type="spellStart"/>
      <w:r w:rsidRPr="00462C0B">
        <w:rPr>
          <w:rFonts w:asciiTheme="majorBidi" w:eastAsiaTheme="minorEastAsia" w:hAnsiTheme="majorBidi" w:cstheme="majorBidi"/>
          <w:sz w:val="21"/>
          <w:szCs w:val="21"/>
          <w:lang w:eastAsia="zh-CN"/>
        </w:rPr>
        <w:t>Scemama</w:t>
      </w:r>
      <w:proofErr w:type="spellEnd"/>
      <w:r w:rsidRPr="00462C0B">
        <w:rPr>
          <w:rFonts w:asciiTheme="majorBidi" w:eastAsiaTheme="minorEastAsia" w:hAnsiTheme="majorBidi" w:cstheme="majorBidi"/>
          <w:sz w:val="21"/>
          <w:szCs w:val="21"/>
          <w:lang w:eastAsia="zh-CN"/>
        </w:rPr>
        <w:t xml:space="preserve">, P. and </w:t>
      </w:r>
      <w:proofErr w:type="spellStart"/>
      <w:r w:rsidRPr="00462C0B">
        <w:rPr>
          <w:rFonts w:asciiTheme="majorBidi" w:eastAsiaTheme="minorEastAsia" w:hAnsiTheme="majorBidi" w:cstheme="majorBidi"/>
          <w:sz w:val="21"/>
          <w:szCs w:val="21"/>
          <w:lang w:eastAsia="zh-CN"/>
        </w:rPr>
        <w:t>Vaissière</w:t>
      </w:r>
      <w:proofErr w:type="spellEnd"/>
      <w:r w:rsidRPr="00462C0B">
        <w:rPr>
          <w:rFonts w:asciiTheme="majorBidi" w:eastAsiaTheme="minorEastAsia" w:hAnsiTheme="majorBidi" w:cstheme="majorBidi"/>
          <w:sz w:val="21"/>
          <w:szCs w:val="21"/>
          <w:lang w:eastAsia="zh-CN"/>
        </w:rPr>
        <w:t>, A.C., (2017). Should we be wary of mitigation banking? Evidence regarding the risks associated with this wetland offset arrangement in Florida. </w:t>
      </w:r>
      <w:r w:rsidRPr="00462C0B">
        <w:rPr>
          <w:rFonts w:asciiTheme="majorBidi" w:eastAsiaTheme="minorEastAsia" w:hAnsiTheme="majorBidi" w:cstheme="majorBidi"/>
          <w:i/>
          <w:iCs/>
          <w:sz w:val="21"/>
          <w:szCs w:val="21"/>
          <w:lang w:eastAsia="zh-CN"/>
        </w:rPr>
        <w:t>Ecological Economics</w:t>
      </w:r>
      <w:r w:rsidRPr="00462C0B">
        <w:rPr>
          <w:rFonts w:asciiTheme="majorBidi" w:eastAsiaTheme="minorEastAsia" w:hAnsiTheme="majorBidi" w:cstheme="majorBidi"/>
          <w:sz w:val="21"/>
          <w:szCs w:val="21"/>
          <w:lang w:eastAsia="zh-CN"/>
        </w:rPr>
        <w:t>, 135,.136-149.</w:t>
      </w:r>
    </w:p>
    <w:p w14:paraId="70ECA168"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sz w:val="21"/>
          <w:szCs w:val="21"/>
          <w:lang w:eastAsia="zh-CN"/>
        </w:rPr>
        <w:t xml:space="preserve">HM Government (2018). A Green Future: Our 25 Year Plan to Improve the Environment. Online. Available at: </w:t>
      </w:r>
      <w:hyperlink r:id="rId22" w:history="1">
        <w:r w:rsidRPr="00462C0B">
          <w:rPr>
            <w:rFonts w:asciiTheme="majorBidi" w:eastAsiaTheme="minorEastAsia" w:hAnsiTheme="majorBidi" w:cstheme="majorBidi"/>
            <w:color w:val="0563C1" w:themeColor="hyperlink"/>
            <w:sz w:val="21"/>
            <w:szCs w:val="21"/>
            <w:u w:val="single"/>
            <w:lang w:eastAsia="zh-CN"/>
          </w:rPr>
          <w:t>https://assets.publishing.service.gov.uk/government/uploads/system/uploads/attachment_data/file/693158/25-year-environment-plan.pdf</w:t>
        </w:r>
      </w:hyperlink>
      <w:r w:rsidRPr="00462C0B">
        <w:rPr>
          <w:rFonts w:asciiTheme="majorBidi" w:eastAsiaTheme="minorEastAsia" w:hAnsiTheme="majorBidi" w:cstheme="majorBidi"/>
          <w:sz w:val="21"/>
          <w:szCs w:val="21"/>
          <w:lang w:eastAsia="zh-CN"/>
        </w:rPr>
        <w:t xml:space="preserve"> </w:t>
      </w:r>
    </w:p>
    <w:p w14:paraId="40F8FC35"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color w:val="222222"/>
          <w:sz w:val="21"/>
          <w:szCs w:val="21"/>
          <w:shd w:val="clear" w:color="auto" w:fill="FFFFFF"/>
          <w:lang w:eastAsia="zh-CN"/>
        </w:rPr>
        <w:t>Hough, P., &amp; Robertson, M. (2009). Mitigation under Section 404 of the Clean Water Act: where it comes from, what it means. </w:t>
      </w:r>
      <w:r w:rsidRPr="00462C0B">
        <w:rPr>
          <w:rFonts w:asciiTheme="majorBidi" w:eastAsiaTheme="minorEastAsia" w:hAnsiTheme="majorBidi" w:cstheme="majorBidi"/>
          <w:i/>
          <w:iCs/>
          <w:color w:val="222222"/>
          <w:sz w:val="21"/>
          <w:szCs w:val="21"/>
          <w:shd w:val="clear" w:color="auto" w:fill="FFFFFF"/>
          <w:lang w:eastAsia="zh-CN"/>
        </w:rPr>
        <w:t>Wetlands Ecology and Management</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17</w:t>
      </w:r>
      <w:r w:rsidRPr="00462C0B">
        <w:rPr>
          <w:rFonts w:asciiTheme="majorBidi" w:eastAsiaTheme="minorEastAsia" w:hAnsiTheme="majorBidi" w:cstheme="majorBidi"/>
          <w:color w:val="222222"/>
          <w:sz w:val="21"/>
          <w:szCs w:val="21"/>
          <w:shd w:val="clear" w:color="auto" w:fill="FFFFFF"/>
          <w:lang w:eastAsia="zh-CN"/>
        </w:rPr>
        <w:t>(1), 15-33.</w:t>
      </w:r>
    </w:p>
    <w:p w14:paraId="2AF0469C"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Kettlewell, C.I., Bouchard, V., Porej, D., </w:t>
      </w:r>
      <w:proofErr w:type="spellStart"/>
      <w:r w:rsidRPr="00462C0B">
        <w:rPr>
          <w:rFonts w:asciiTheme="majorBidi" w:eastAsiaTheme="minorEastAsia" w:hAnsiTheme="majorBidi" w:cstheme="majorBidi"/>
          <w:sz w:val="21"/>
          <w:szCs w:val="21"/>
          <w:lang w:eastAsia="en-GB"/>
        </w:rPr>
        <w:t>Micacchion</w:t>
      </w:r>
      <w:proofErr w:type="spellEnd"/>
      <w:r w:rsidRPr="00462C0B">
        <w:rPr>
          <w:rFonts w:asciiTheme="majorBidi" w:eastAsiaTheme="minorEastAsia" w:hAnsiTheme="majorBidi" w:cstheme="majorBidi"/>
          <w:sz w:val="21"/>
          <w:szCs w:val="21"/>
          <w:lang w:eastAsia="en-GB"/>
        </w:rPr>
        <w:t xml:space="preserve">, M., Mack, J.J., White, D. and Fay, L. (2008) An assessment of wetland impacts and compensatory mitigation in the Cuyahoga River Watershed, Ohio, USA. </w:t>
      </w:r>
      <w:r w:rsidRPr="00462C0B">
        <w:rPr>
          <w:rFonts w:asciiTheme="majorBidi" w:eastAsiaTheme="minorEastAsia" w:hAnsiTheme="majorBidi" w:cstheme="majorBidi"/>
          <w:i/>
          <w:iCs/>
          <w:sz w:val="21"/>
          <w:szCs w:val="21"/>
          <w:lang w:eastAsia="en-GB"/>
        </w:rPr>
        <w:t xml:space="preserve">Wetlands, </w:t>
      </w:r>
      <w:r w:rsidRPr="00462C0B">
        <w:rPr>
          <w:rFonts w:asciiTheme="majorBidi" w:eastAsiaTheme="minorEastAsia" w:hAnsiTheme="majorBidi" w:cstheme="majorBidi"/>
          <w:sz w:val="21"/>
          <w:szCs w:val="21"/>
          <w:lang w:eastAsia="en-GB"/>
        </w:rPr>
        <w:t xml:space="preserve">28 (1), 57-67. </w:t>
      </w:r>
    </w:p>
    <w:p w14:paraId="5ED1A1D7"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Laitila, J., Moilanen, A. and </w:t>
      </w:r>
      <w:proofErr w:type="spellStart"/>
      <w:r w:rsidRPr="00462C0B">
        <w:rPr>
          <w:rFonts w:asciiTheme="majorBidi" w:eastAsiaTheme="minorEastAsia" w:hAnsiTheme="majorBidi" w:cstheme="majorBidi"/>
          <w:sz w:val="21"/>
          <w:szCs w:val="21"/>
          <w:lang w:eastAsia="en-GB"/>
        </w:rPr>
        <w:t>Pouzols</w:t>
      </w:r>
      <w:proofErr w:type="spellEnd"/>
      <w:r w:rsidRPr="00462C0B">
        <w:rPr>
          <w:rFonts w:asciiTheme="majorBidi" w:eastAsiaTheme="minorEastAsia" w:hAnsiTheme="majorBidi" w:cstheme="majorBidi"/>
          <w:sz w:val="21"/>
          <w:szCs w:val="21"/>
          <w:lang w:eastAsia="en-GB"/>
        </w:rPr>
        <w:t xml:space="preserve">, F.M. (2014) A method for calculating minimum biodiversity offset multipliers accounting for time discounting, additionality and permanence. </w:t>
      </w:r>
      <w:r w:rsidRPr="00462C0B">
        <w:rPr>
          <w:rFonts w:asciiTheme="majorBidi" w:eastAsiaTheme="minorEastAsia" w:hAnsiTheme="majorBidi" w:cstheme="majorBidi"/>
          <w:i/>
          <w:iCs/>
          <w:sz w:val="21"/>
          <w:szCs w:val="21"/>
          <w:lang w:eastAsia="en-GB"/>
        </w:rPr>
        <w:t xml:space="preserve">Methods in Ecology and Evolution, </w:t>
      </w:r>
      <w:r w:rsidRPr="00462C0B">
        <w:rPr>
          <w:rFonts w:asciiTheme="majorBidi" w:eastAsiaTheme="minorEastAsia" w:hAnsiTheme="majorBidi" w:cstheme="majorBidi"/>
          <w:sz w:val="21"/>
          <w:szCs w:val="21"/>
          <w:lang w:eastAsia="en-GB"/>
        </w:rPr>
        <w:t xml:space="preserve">5 (11), 1247-1254. </w:t>
      </w:r>
    </w:p>
    <w:p w14:paraId="2B3AA6C6"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Lapeyre, R., Froger, G. and </w:t>
      </w:r>
      <w:proofErr w:type="spellStart"/>
      <w:r w:rsidRPr="00462C0B">
        <w:rPr>
          <w:rFonts w:asciiTheme="majorBidi" w:eastAsiaTheme="minorEastAsia" w:hAnsiTheme="majorBidi" w:cstheme="majorBidi"/>
          <w:sz w:val="21"/>
          <w:szCs w:val="21"/>
          <w:lang w:eastAsia="en-GB"/>
        </w:rPr>
        <w:t>Hrabanski</w:t>
      </w:r>
      <w:proofErr w:type="spellEnd"/>
      <w:r w:rsidRPr="00462C0B">
        <w:rPr>
          <w:rFonts w:asciiTheme="majorBidi" w:eastAsiaTheme="minorEastAsia" w:hAnsiTheme="majorBidi" w:cstheme="majorBidi"/>
          <w:sz w:val="21"/>
          <w:szCs w:val="21"/>
          <w:lang w:eastAsia="en-GB"/>
        </w:rPr>
        <w:t xml:space="preserve">, M. (2015) Biodiversity offsets as market-based instruments for ecosystem services? From discourses to practices. </w:t>
      </w:r>
      <w:r w:rsidRPr="00462C0B">
        <w:rPr>
          <w:rFonts w:asciiTheme="majorBidi" w:eastAsiaTheme="minorEastAsia" w:hAnsiTheme="majorBidi" w:cstheme="majorBidi"/>
          <w:i/>
          <w:iCs/>
          <w:sz w:val="21"/>
          <w:szCs w:val="21"/>
          <w:lang w:eastAsia="en-GB"/>
        </w:rPr>
        <w:t xml:space="preserve">Ecosystem Services, </w:t>
      </w:r>
      <w:r w:rsidRPr="00462C0B">
        <w:rPr>
          <w:rFonts w:asciiTheme="majorBidi" w:eastAsiaTheme="minorEastAsia" w:hAnsiTheme="majorBidi" w:cstheme="majorBidi"/>
          <w:sz w:val="21"/>
          <w:szCs w:val="21"/>
          <w:lang w:eastAsia="en-GB"/>
        </w:rPr>
        <w:t xml:space="preserve">15, 125-133. </w:t>
      </w:r>
    </w:p>
    <w:p w14:paraId="041CC277"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Lockhart, A., (2015). Developing an offsetting programme: tensions, dilemmas and difficulties in biodiversity market-making in England. </w:t>
      </w:r>
      <w:r w:rsidRPr="00462C0B">
        <w:rPr>
          <w:rFonts w:asciiTheme="majorBidi" w:eastAsiaTheme="minorEastAsia" w:hAnsiTheme="majorBidi" w:cstheme="majorBidi"/>
          <w:i/>
          <w:iCs/>
          <w:sz w:val="21"/>
          <w:szCs w:val="21"/>
          <w:lang w:eastAsia="en-GB"/>
        </w:rPr>
        <w:t>Environmental Conservation</w:t>
      </w:r>
      <w:r w:rsidRPr="00462C0B">
        <w:rPr>
          <w:rFonts w:asciiTheme="majorBidi" w:eastAsiaTheme="minorEastAsia" w:hAnsiTheme="majorBidi" w:cstheme="majorBidi"/>
          <w:sz w:val="21"/>
          <w:szCs w:val="21"/>
          <w:lang w:eastAsia="en-GB"/>
        </w:rPr>
        <w:t>, 42(4), 335-344.</w:t>
      </w:r>
    </w:p>
    <w:p w14:paraId="5E5CFC1C"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Maron, M., Hobbs, R.J., Moilanen, A., Matthews, J.W., Christie, K., Gardner, T.A., Keith, D.A., Lindenmayer, D.B. and McAlpine, C.A. (2012) Faustian bargains? Restoration realities in the context of biodiversity offset policies. </w:t>
      </w:r>
      <w:r w:rsidRPr="00462C0B">
        <w:rPr>
          <w:rFonts w:asciiTheme="majorBidi" w:eastAsiaTheme="minorEastAsia" w:hAnsiTheme="majorBidi" w:cstheme="majorBidi"/>
          <w:i/>
          <w:iCs/>
          <w:sz w:val="21"/>
          <w:szCs w:val="21"/>
          <w:lang w:eastAsia="en-GB"/>
        </w:rPr>
        <w:t xml:space="preserve">Biological Conservation, </w:t>
      </w:r>
      <w:r w:rsidRPr="00462C0B">
        <w:rPr>
          <w:rFonts w:asciiTheme="majorBidi" w:eastAsiaTheme="minorEastAsia" w:hAnsiTheme="majorBidi" w:cstheme="majorBidi"/>
          <w:sz w:val="21"/>
          <w:szCs w:val="21"/>
          <w:lang w:eastAsia="en-GB"/>
        </w:rPr>
        <w:t xml:space="preserve">155, 41-148. </w:t>
      </w:r>
    </w:p>
    <w:p w14:paraId="3040B6CF"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Maron, M., Bull, J. W., Evans, M. C., &amp; Gordon, A. (2015). Locking in loss: Baselines of decline in Australian biodiversity offset policies. </w:t>
      </w:r>
      <w:r w:rsidRPr="00462C0B">
        <w:rPr>
          <w:rFonts w:asciiTheme="majorBidi" w:eastAsiaTheme="minorEastAsia" w:hAnsiTheme="majorBidi" w:cstheme="majorBidi"/>
          <w:i/>
          <w:iCs/>
          <w:sz w:val="21"/>
          <w:szCs w:val="21"/>
          <w:lang w:eastAsia="en-GB"/>
        </w:rPr>
        <w:t>Biological Conservation</w:t>
      </w:r>
      <w:r w:rsidRPr="00462C0B">
        <w:rPr>
          <w:rFonts w:asciiTheme="majorBidi" w:eastAsiaTheme="minorEastAsia" w:hAnsiTheme="majorBidi" w:cstheme="majorBidi"/>
          <w:sz w:val="21"/>
          <w:szCs w:val="21"/>
          <w:lang w:eastAsia="en-GB"/>
        </w:rPr>
        <w:t>, 192, 504-512.</w:t>
      </w:r>
    </w:p>
    <w:p w14:paraId="3DB1E79C"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color w:val="222222"/>
          <w:sz w:val="21"/>
          <w:szCs w:val="21"/>
          <w:shd w:val="clear" w:color="auto" w:fill="FFFFFF"/>
          <w:lang w:eastAsia="en-GB"/>
        </w:rPr>
      </w:pPr>
      <w:r w:rsidRPr="00462C0B">
        <w:rPr>
          <w:rFonts w:asciiTheme="majorBidi" w:eastAsiaTheme="minorEastAsia" w:hAnsiTheme="majorBidi" w:cstheme="majorBidi"/>
          <w:color w:val="222222"/>
          <w:sz w:val="21"/>
          <w:szCs w:val="21"/>
          <w:shd w:val="clear" w:color="auto" w:fill="FFFFFF"/>
          <w:lang w:eastAsia="en-GB"/>
        </w:rPr>
        <w:t xml:space="preserve">Maron, M., Ives, C. D., Kujala, H., Bull, J. W., </w:t>
      </w:r>
      <w:proofErr w:type="spellStart"/>
      <w:r w:rsidRPr="00462C0B">
        <w:rPr>
          <w:rFonts w:asciiTheme="majorBidi" w:eastAsiaTheme="minorEastAsia" w:hAnsiTheme="majorBidi" w:cstheme="majorBidi"/>
          <w:color w:val="222222"/>
          <w:sz w:val="21"/>
          <w:szCs w:val="21"/>
          <w:shd w:val="clear" w:color="auto" w:fill="FFFFFF"/>
          <w:lang w:eastAsia="en-GB"/>
        </w:rPr>
        <w:t>Maseyk</w:t>
      </w:r>
      <w:proofErr w:type="spellEnd"/>
      <w:r w:rsidRPr="00462C0B">
        <w:rPr>
          <w:rFonts w:asciiTheme="majorBidi" w:eastAsiaTheme="minorEastAsia" w:hAnsiTheme="majorBidi" w:cstheme="majorBidi"/>
          <w:color w:val="222222"/>
          <w:sz w:val="21"/>
          <w:szCs w:val="21"/>
          <w:shd w:val="clear" w:color="auto" w:fill="FFFFFF"/>
          <w:lang w:eastAsia="en-GB"/>
        </w:rPr>
        <w:t>, F. J., Bekessy, S., ... &amp; Evans, M. C. (2016). Taming a wicked problem: resolving controversies in biodiversity offsetting. </w:t>
      </w:r>
      <w:proofErr w:type="spellStart"/>
      <w:r w:rsidRPr="00462C0B">
        <w:rPr>
          <w:rFonts w:asciiTheme="majorBidi" w:eastAsiaTheme="minorEastAsia" w:hAnsiTheme="majorBidi" w:cstheme="majorBidi"/>
          <w:i/>
          <w:iCs/>
          <w:color w:val="222222"/>
          <w:sz w:val="21"/>
          <w:szCs w:val="21"/>
          <w:shd w:val="clear" w:color="auto" w:fill="FFFFFF"/>
          <w:lang w:eastAsia="en-GB"/>
        </w:rPr>
        <w:t>BioScience</w:t>
      </w:r>
      <w:proofErr w:type="spellEnd"/>
      <w:r w:rsidRPr="00462C0B">
        <w:rPr>
          <w:rFonts w:asciiTheme="majorBidi" w:eastAsiaTheme="minorEastAsia" w:hAnsiTheme="majorBidi" w:cstheme="majorBidi"/>
          <w:color w:val="222222"/>
          <w:sz w:val="21"/>
          <w:szCs w:val="21"/>
          <w:shd w:val="clear" w:color="auto" w:fill="FFFFFF"/>
          <w:lang w:eastAsia="en-GB"/>
        </w:rPr>
        <w:t>, </w:t>
      </w:r>
      <w:r w:rsidRPr="00462C0B">
        <w:rPr>
          <w:rFonts w:asciiTheme="majorBidi" w:eastAsiaTheme="minorEastAsia" w:hAnsiTheme="majorBidi" w:cstheme="majorBidi"/>
          <w:i/>
          <w:iCs/>
          <w:color w:val="222222"/>
          <w:sz w:val="21"/>
          <w:szCs w:val="21"/>
          <w:shd w:val="clear" w:color="auto" w:fill="FFFFFF"/>
          <w:lang w:eastAsia="en-GB"/>
        </w:rPr>
        <w:t>66</w:t>
      </w:r>
      <w:r w:rsidRPr="00462C0B">
        <w:rPr>
          <w:rFonts w:asciiTheme="majorBidi" w:eastAsiaTheme="minorEastAsia" w:hAnsiTheme="majorBidi" w:cstheme="majorBidi"/>
          <w:color w:val="222222"/>
          <w:sz w:val="21"/>
          <w:szCs w:val="21"/>
          <w:shd w:val="clear" w:color="auto" w:fill="FFFFFF"/>
          <w:lang w:eastAsia="en-GB"/>
        </w:rPr>
        <w:t>(6), 489-498.</w:t>
      </w:r>
    </w:p>
    <w:p w14:paraId="6D0F1F4A"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lastRenderedPageBreak/>
        <w:t xml:space="preserve">Marshall, E., Wintle, B.A., Southwell, D. and Kujala, H., (2020). What are we measuring? A review of metrics used to describe biodiversity in offsets exchanges. </w:t>
      </w:r>
      <w:r w:rsidRPr="00462C0B">
        <w:rPr>
          <w:rFonts w:asciiTheme="majorBidi" w:eastAsiaTheme="minorEastAsia" w:hAnsiTheme="majorBidi" w:cstheme="majorBidi"/>
          <w:i/>
          <w:iCs/>
          <w:sz w:val="21"/>
          <w:szCs w:val="21"/>
          <w:lang w:eastAsia="en-GB"/>
        </w:rPr>
        <w:t>Biological Conservation</w:t>
      </w:r>
      <w:r w:rsidRPr="00462C0B">
        <w:rPr>
          <w:rFonts w:asciiTheme="majorBidi" w:eastAsiaTheme="minorEastAsia" w:hAnsiTheme="majorBidi" w:cstheme="majorBidi"/>
          <w:sz w:val="21"/>
          <w:szCs w:val="21"/>
          <w:lang w:eastAsia="en-GB"/>
        </w:rPr>
        <w:t>, 241, 108-250.</w:t>
      </w:r>
    </w:p>
    <w:p w14:paraId="78304EFE"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McCarthy, M.A., Parris, K.M., Van Der Ree, R., McDonnell, M.J., Burgman, M.A., Williams, N.S., McLean, N., Harper, M.J., Meyer, R. and Hahs, A. (2004) The habitat hectares approach to vegetation assessment: an evaluation and suggestions for improvement. </w:t>
      </w:r>
      <w:r w:rsidRPr="00462C0B">
        <w:rPr>
          <w:rFonts w:asciiTheme="majorBidi" w:eastAsiaTheme="minorEastAsia" w:hAnsiTheme="majorBidi" w:cstheme="majorBidi"/>
          <w:i/>
          <w:iCs/>
          <w:sz w:val="21"/>
          <w:szCs w:val="21"/>
          <w:lang w:eastAsia="en-GB"/>
        </w:rPr>
        <w:t xml:space="preserve">Ecological Management &amp; Restoration, </w:t>
      </w:r>
      <w:r w:rsidRPr="00462C0B">
        <w:rPr>
          <w:rFonts w:asciiTheme="majorBidi" w:eastAsiaTheme="minorEastAsia" w:hAnsiTheme="majorBidi" w:cstheme="majorBidi"/>
          <w:sz w:val="21"/>
          <w:szCs w:val="21"/>
          <w:lang w:eastAsia="en-GB"/>
        </w:rPr>
        <w:t xml:space="preserve">5 (1), pp. 24-27. </w:t>
      </w:r>
    </w:p>
    <w:p w14:paraId="705362E0"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McKenney, B.A. and Kiesecker, J.M. (2010) Policy development for biodiversity offsets: a review of offset frameworks. </w:t>
      </w:r>
      <w:r w:rsidRPr="00462C0B">
        <w:rPr>
          <w:rFonts w:asciiTheme="majorBidi" w:eastAsiaTheme="minorEastAsia" w:hAnsiTheme="majorBidi" w:cstheme="majorBidi"/>
          <w:i/>
          <w:iCs/>
          <w:sz w:val="21"/>
          <w:szCs w:val="21"/>
          <w:lang w:eastAsia="en-GB"/>
        </w:rPr>
        <w:t xml:space="preserve">Environmental Management, </w:t>
      </w:r>
      <w:r w:rsidRPr="00462C0B">
        <w:rPr>
          <w:rFonts w:asciiTheme="majorBidi" w:eastAsiaTheme="minorEastAsia" w:hAnsiTheme="majorBidi" w:cstheme="majorBidi"/>
          <w:sz w:val="21"/>
          <w:szCs w:val="21"/>
          <w:lang w:eastAsia="en-GB"/>
        </w:rPr>
        <w:t xml:space="preserve">45 (1), pp. 165-176. </w:t>
      </w:r>
    </w:p>
    <w:p w14:paraId="4A052E46"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Moilanen, A., &amp; Kotiaho, J. S. (2018). Fifteen operationally important decisions in the planning of biodiversity offsets. Biological conservation, 227, 112-120.</w:t>
      </w:r>
    </w:p>
    <w:p w14:paraId="43CD19DB"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color w:val="222222"/>
          <w:sz w:val="21"/>
          <w:szCs w:val="21"/>
          <w:shd w:val="clear" w:color="auto" w:fill="FFFFFF"/>
          <w:lang w:eastAsia="en-GB"/>
        </w:rPr>
      </w:pPr>
      <w:r w:rsidRPr="00462C0B">
        <w:rPr>
          <w:rFonts w:asciiTheme="majorBidi" w:eastAsiaTheme="minorEastAsia" w:hAnsiTheme="majorBidi" w:cstheme="majorBidi"/>
          <w:color w:val="222222"/>
          <w:sz w:val="21"/>
          <w:szCs w:val="21"/>
          <w:shd w:val="clear" w:color="auto" w:fill="FFFFFF"/>
          <w:lang w:eastAsia="en-GB"/>
        </w:rPr>
        <w:t>Moilanen, A., &amp; Kotiaho, J. S. (2021). Three ways to deliver a net positive impact with biodiversity offsets. </w:t>
      </w:r>
      <w:r w:rsidRPr="00462C0B">
        <w:rPr>
          <w:rFonts w:asciiTheme="majorBidi" w:eastAsiaTheme="minorEastAsia" w:hAnsiTheme="majorBidi" w:cstheme="majorBidi"/>
          <w:i/>
          <w:iCs/>
          <w:color w:val="222222"/>
          <w:sz w:val="21"/>
          <w:szCs w:val="21"/>
          <w:shd w:val="clear" w:color="auto" w:fill="FFFFFF"/>
          <w:lang w:eastAsia="en-GB"/>
        </w:rPr>
        <w:t>Conservation Biology</w:t>
      </w:r>
      <w:r w:rsidRPr="00462C0B">
        <w:rPr>
          <w:rFonts w:asciiTheme="majorBidi" w:eastAsiaTheme="minorEastAsia" w:hAnsiTheme="majorBidi" w:cstheme="majorBidi"/>
          <w:color w:val="222222"/>
          <w:sz w:val="21"/>
          <w:szCs w:val="21"/>
          <w:shd w:val="clear" w:color="auto" w:fill="FFFFFF"/>
          <w:lang w:eastAsia="en-GB"/>
        </w:rPr>
        <w:t>, </w:t>
      </w:r>
      <w:r w:rsidRPr="00462C0B">
        <w:rPr>
          <w:rFonts w:asciiTheme="majorBidi" w:eastAsiaTheme="minorEastAsia" w:hAnsiTheme="majorBidi" w:cstheme="majorBidi"/>
          <w:i/>
          <w:iCs/>
          <w:color w:val="222222"/>
          <w:sz w:val="21"/>
          <w:szCs w:val="21"/>
          <w:shd w:val="clear" w:color="auto" w:fill="FFFFFF"/>
          <w:lang w:eastAsia="en-GB"/>
        </w:rPr>
        <w:t>35</w:t>
      </w:r>
      <w:r w:rsidRPr="00462C0B">
        <w:rPr>
          <w:rFonts w:asciiTheme="majorBidi" w:eastAsiaTheme="minorEastAsia" w:hAnsiTheme="majorBidi" w:cstheme="majorBidi"/>
          <w:color w:val="222222"/>
          <w:sz w:val="21"/>
          <w:szCs w:val="21"/>
          <w:shd w:val="clear" w:color="auto" w:fill="FFFFFF"/>
          <w:lang w:eastAsia="en-GB"/>
        </w:rPr>
        <w:t>(1), 197-205.</w:t>
      </w:r>
    </w:p>
    <w:p w14:paraId="2E65CC03"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Moilanen, A., Van </w:t>
      </w:r>
      <w:proofErr w:type="spellStart"/>
      <w:r w:rsidRPr="00462C0B">
        <w:rPr>
          <w:rFonts w:asciiTheme="majorBidi" w:eastAsiaTheme="minorEastAsia" w:hAnsiTheme="majorBidi" w:cstheme="majorBidi"/>
          <w:sz w:val="21"/>
          <w:szCs w:val="21"/>
          <w:lang w:eastAsia="en-GB"/>
        </w:rPr>
        <w:t>Teeffelen</w:t>
      </w:r>
      <w:proofErr w:type="spellEnd"/>
      <w:r w:rsidRPr="00462C0B">
        <w:rPr>
          <w:rFonts w:asciiTheme="majorBidi" w:eastAsiaTheme="minorEastAsia" w:hAnsiTheme="majorBidi" w:cstheme="majorBidi"/>
          <w:sz w:val="21"/>
          <w:szCs w:val="21"/>
          <w:lang w:eastAsia="en-GB"/>
        </w:rPr>
        <w:t>, A.J., Ben‐Haim, Y. and Ferrier, S., (2009). How much compensation is enough? A framework for incorporating uncertainty and time discounting when calculating offset ratios for impacted habitat. </w:t>
      </w:r>
      <w:r w:rsidRPr="00462C0B">
        <w:rPr>
          <w:rFonts w:asciiTheme="majorBidi" w:eastAsiaTheme="minorEastAsia" w:hAnsiTheme="majorBidi" w:cstheme="majorBidi"/>
          <w:i/>
          <w:iCs/>
          <w:sz w:val="21"/>
          <w:szCs w:val="21"/>
          <w:lang w:eastAsia="en-GB"/>
        </w:rPr>
        <w:t>Restoration Ecology</w:t>
      </w:r>
      <w:r w:rsidRPr="00462C0B">
        <w:rPr>
          <w:rFonts w:asciiTheme="majorBidi" w:eastAsiaTheme="minorEastAsia" w:hAnsiTheme="majorBidi" w:cstheme="majorBidi"/>
          <w:sz w:val="21"/>
          <w:szCs w:val="21"/>
          <w:lang w:eastAsia="en-GB"/>
        </w:rPr>
        <w:t>, 17(4), 470-478.</w:t>
      </w:r>
    </w:p>
    <w:p w14:paraId="125066AF"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color w:val="222222"/>
          <w:sz w:val="21"/>
          <w:szCs w:val="21"/>
          <w:shd w:val="clear" w:color="auto" w:fill="FFFFFF"/>
          <w:lang w:eastAsia="zh-CN"/>
        </w:rPr>
        <w:t>Needham, K., de Vries, F.P., Armsworth, P.R. and Hanley, N., 2019. Designing markets for biodiversity offsets: Lessons from tradable pollution permits. </w:t>
      </w:r>
      <w:r w:rsidRPr="00462C0B">
        <w:rPr>
          <w:rFonts w:asciiTheme="majorBidi" w:eastAsiaTheme="minorEastAsia" w:hAnsiTheme="majorBidi" w:cstheme="majorBidi"/>
          <w:i/>
          <w:iCs/>
          <w:color w:val="222222"/>
          <w:sz w:val="21"/>
          <w:szCs w:val="21"/>
          <w:shd w:val="clear" w:color="auto" w:fill="FFFFFF"/>
          <w:lang w:eastAsia="zh-CN"/>
        </w:rPr>
        <w:t>Journal of Applied Ecology</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56</w:t>
      </w:r>
      <w:r w:rsidRPr="00462C0B">
        <w:rPr>
          <w:rFonts w:asciiTheme="majorBidi" w:eastAsiaTheme="minorEastAsia" w:hAnsiTheme="majorBidi" w:cstheme="majorBidi"/>
          <w:color w:val="222222"/>
          <w:sz w:val="21"/>
          <w:szCs w:val="21"/>
          <w:shd w:val="clear" w:color="auto" w:fill="FFFFFF"/>
          <w:lang w:eastAsia="zh-CN"/>
        </w:rPr>
        <w:t>(6), pp.1429-1435.</w:t>
      </w:r>
    </w:p>
    <w:p w14:paraId="17C03D06"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sz w:val="21"/>
          <w:szCs w:val="21"/>
          <w:lang w:eastAsia="zh-CN"/>
        </w:rPr>
        <w:t xml:space="preserve">OECD (2007). Business and the Environment: Policy Incentives and Corporate Responses, OECD, Paris. </w:t>
      </w:r>
    </w:p>
    <w:p w14:paraId="44F1D22A"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Pilgrim, J.D. and </w:t>
      </w:r>
      <w:proofErr w:type="spellStart"/>
      <w:r w:rsidRPr="00462C0B">
        <w:rPr>
          <w:rFonts w:asciiTheme="majorBidi" w:eastAsiaTheme="minorEastAsia" w:hAnsiTheme="majorBidi" w:cstheme="majorBidi"/>
          <w:sz w:val="21"/>
          <w:szCs w:val="21"/>
          <w:lang w:eastAsia="en-GB"/>
        </w:rPr>
        <w:t>Bennun</w:t>
      </w:r>
      <w:proofErr w:type="spellEnd"/>
      <w:r w:rsidRPr="00462C0B">
        <w:rPr>
          <w:rFonts w:asciiTheme="majorBidi" w:eastAsiaTheme="minorEastAsia" w:hAnsiTheme="majorBidi" w:cstheme="majorBidi"/>
          <w:sz w:val="21"/>
          <w:szCs w:val="21"/>
          <w:lang w:eastAsia="en-GB"/>
        </w:rPr>
        <w:t xml:space="preserve">, L. (2014) Will Biodiversity Offsets Save or Sink Protected Areas? </w:t>
      </w:r>
      <w:r w:rsidRPr="00462C0B">
        <w:rPr>
          <w:rFonts w:asciiTheme="majorBidi" w:eastAsiaTheme="minorEastAsia" w:hAnsiTheme="majorBidi" w:cstheme="majorBidi"/>
          <w:i/>
          <w:iCs/>
          <w:sz w:val="21"/>
          <w:szCs w:val="21"/>
          <w:lang w:eastAsia="en-GB"/>
        </w:rPr>
        <w:t xml:space="preserve">Conservation Letters, </w:t>
      </w:r>
      <w:r w:rsidRPr="00462C0B">
        <w:rPr>
          <w:rFonts w:asciiTheme="majorBidi" w:eastAsiaTheme="minorEastAsia" w:hAnsiTheme="majorBidi" w:cstheme="majorBidi"/>
          <w:sz w:val="21"/>
          <w:szCs w:val="21"/>
          <w:lang w:eastAsia="en-GB"/>
        </w:rPr>
        <w:t xml:space="preserve">7 (5), pp. 423-424. </w:t>
      </w:r>
    </w:p>
    <w:p w14:paraId="0C187DF0"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proofErr w:type="spellStart"/>
      <w:r w:rsidRPr="00462C0B">
        <w:rPr>
          <w:rFonts w:asciiTheme="majorBidi" w:eastAsiaTheme="minorEastAsia" w:hAnsiTheme="majorBidi" w:cstheme="majorBidi"/>
          <w:sz w:val="21"/>
          <w:szCs w:val="21"/>
          <w:lang w:eastAsia="en-GB"/>
        </w:rPr>
        <w:t>Quetier</w:t>
      </w:r>
      <w:proofErr w:type="spellEnd"/>
      <w:r w:rsidRPr="00462C0B">
        <w:rPr>
          <w:rFonts w:asciiTheme="majorBidi" w:eastAsiaTheme="minorEastAsia" w:hAnsiTheme="majorBidi" w:cstheme="majorBidi"/>
          <w:sz w:val="21"/>
          <w:szCs w:val="21"/>
          <w:lang w:eastAsia="en-GB"/>
        </w:rPr>
        <w:t xml:space="preserve">, F. and </w:t>
      </w:r>
      <w:proofErr w:type="spellStart"/>
      <w:r w:rsidRPr="00462C0B">
        <w:rPr>
          <w:rFonts w:asciiTheme="majorBidi" w:eastAsiaTheme="minorEastAsia" w:hAnsiTheme="majorBidi" w:cstheme="majorBidi"/>
          <w:sz w:val="21"/>
          <w:szCs w:val="21"/>
          <w:lang w:eastAsia="en-GB"/>
        </w:rPr>
        <w:t>Lavorel</w:t>
      </w:r>
      <w:proofErr w:type="spellEnd"/>
      <w:r w:rsidRPr="00462C0B">
        <w:rPr>
          <w:rFonts w:asciiTheme="majorBidi" w:eastAsiaTheme="minorEastAsia" w:hAnsiTheme="majorBidi" w:cstheme="majorBidi"/>
          <w:sz w:val="21"/>
          <w:szCs w:val="21"/>
          <w:lang w:eastAsia="en-GB"/>
        </w:rPr>
        <w:t xml:space="preserve">, S. (2011) Assessing ecological equivalence in biodiversity offset schemes: Key issues and solutions. </w:t>
      </w:r>
      <w:r w:rsidRPr="00462C0B">
        <w:rPr>
          <w:rFonts w:asciiTheme="majorBidi" w:eastAsiaTheme="minorEastAsia" w:hAnsiTheme="majorBidi" w:cstheme="majorBidi"/>
          <w:i/>
          <w:iCs/>
          <w:sz w:val="21"/>
          <w:szCs w:val="21"/>
          <w:lang w:eastAsia="en-GB"/>
        </w:rPr>
        <w:t xml:space="preserve">Biological Conservation, </w:t>
      </w:r>
      <w:r w:rsidRPr="00462C0B">
        <w:rPr>
          <w:rFonts w:asciiTheme="majorBidi" w:eastAsiaTheme="minorEastAsia" w:hAnsiTheme="majorBidi" w:cstheme="majorBidi"/>
          <w:sz w:val="21"/>
          <w:szCs w:val="21"/>
          <w:lang w:eastAsia="en-GB"/>
        </w:rPr>
        <w:t xml:space="preserve">144 (12), pp. 2991-2999. </w:t>
      </w:r>
    </w:p>
    <w:p w14:paraId="22A40A26"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proofErr w:type="spellStart"/>
      <w:r w:rsidRPr="00462C0B">
        <w:rPr>
          <w:rFonts w:asciiTheme="majorBidi" w:eastAsiaTheme="minorEastAsia" w:hAnsiTheme="majorBidi" w:cstheme="majorBidi"/>
          <w:sz w:val="21"/>
          <w:szCs w:val="21"/>
          <w:lang w:eastAsia="en-GB"/>
        </w:rPr>
        <w:t>Quetier</w:t>
      </w:r>
      <w:proofErr w:type="spellEnd"/>
      <w:r w:rsidRPr="00462C0B">
        <w:rPr>
          <w:rFonts w:asciiTheme="majorBidi" w:eastAsiaTheme="minorEastAsia" w:hAnsiTheme="majorBidi" w:cstheme="majorBidi"/>
          <w:sz w:val="21"/>
          <w:szCs w:val="21"/>
          <w:lang w:eastAsia="en-GB"/>
        </w:rPr>
        <w:t xml:space="preserve">, F., Regnery, B. and </w:t>
      </w:r>
      <w:proofErr w:type="spellStart"/>
      <w:r w:rsidRPr="00462C0B">
        <w:rPr>
          <w:rFonts w:asciiTheme="majorBidi" w:eastAsiaTheme="minorEastAsia" w:hAnsiTheme="majorBidi" w:cstheme="majorBidi"/>
          <w:sz w:val="21"/>
          <w:szCs w:val="21"/>
          <w:lang w:eastAsia="en-GB"/>
        </w:rPr>
        <w:t>Levrel</w:t>
      </w:r>
      <w:proofErr w:type="spellEnd"/>
      <w:r w:rsidRPr="00462C0B">
        <w:rPr>
          <w:rFonts w:asciiTheme="majorBidi" w:eastAsiaTheme="minorEastAsia" w:hAnsiTheme="majorBidi" w:cstheme="majorBidi"/>
          <w:sz w:val="21"/>
          <w:szCs w:val="21"/>
          <w:lang w:eastAsia="en-GB"/>
        </w:rPr>
        <w:t xml:space="preserve">, H. (2014) No net loss of biodiversity or paper offsets? A critical review of the French no net loss policy. </w:t>
      </w:r>
      <w:r w:rsidRPr="00462C0B">
        <w:rPr>
          <w:rFonts w:asciiTheme="majorBidi" w:eastAsiaTheme="minorEastAsia" w:hAnsiTheme="majorBidi" w:cstheme="majorBidi"/>
          <w:i/>
          <w:iCs/>
          <w:sz w:val="21"/>
          <w:szCs w:val="21"/>
          <w:lang w:eastAsia="en-GB"/>
        </w:rPr>
        <w:t xml:space="preserve">Environmental Science &amp; Policy, </w:t>
      </w:r>
      <w:r w:rsidRPr="00462C0B">
        <w:rPr>
          <w:rFonts w:asciiTheme="majorBidi" w:eastAsiaTheme="minorEastAsia" w:hAnsiTheme="majorBidi" w:cstheme="majorBidi"/>
          <w:sz w:val="21"/>
          <w:szCs w:val="21"/>
          <w:lang w:eastAsia="en-GB"/>
        </w:rPr>
        <w:t xml:space="preserve">38, pp. 120-131. </w:t>
      </w:r>
    </w:p>
    <w:p w14:paraId="0A2622DC"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Regnery, B., </w:t>
      </w:r>
      <w:proofErr w:type="spellStart"/>
      <w:r w:rsidRPr="00462C0B">
        <w:rPr>
          <w:rFonts w:asciiTheme="majorBidi" w:eastAsiaTheme="minorEastAsia" w:hAnsiTheme="majorBidi" w:cstheme="majorBidi"/>
          <w:sz w:val="21"/>
          <w:szCs w:val="21"/>
          <w:lang w:eastAsia="en-GB"/>
        </w:rPr>
        <w:t>Couvet</w:t>
      </w:r>
      <w:proofErr w:type="spellEnd"/>
      <w:r w:rsidRPr="00462C0B">
        <w:rPr>
          <w:rFonts w:asciiTheme="majorBidi" w:eastAsiaTheme="minorEastAsia" w:hAnsiTheme="majorBidi" w:cstheme="majorBidi"/>
          <w:sz w:val="21"/>
          <w:szCs w:val="21"/>
          <w:lang w:eastAsia="en-GB"/>
        </w:rPr>
        <w:t xml:space="preserve">, D. and </w:t>
      </w:r>
      <w:proofErr w:type="spellStart"/>
      <w:r w:rsidRPr="00462C0B">
        <w:rPr>
          <w:rFonts w:asciiTheme="majorBidi" w:eastAsiaTheme="minorEastAsia" w:hAnsiTheme="majorBidi" w:cstheme="majorBidi"/>
          <w:sz w:val="21"/>
          <w:szCs w:val="21"/>
          <w:lang w:eastAsia="en-GB"/>
        </w:rPr>
        <w:t>Kerbiriou</w:t>
      </w:r>
      <w:proofErr w:type="spellEnd"/>
      <w:r w:rsidRPr="00462C0B">
        <w:rPr>
          <w:rFonts w:asciiTheme="majorBidi" w:eastAsiaTheme="minorEastAsia" w:hAnsiTheme="majorBidi" w:cstheme="majorBidi"/>
          <w:sz w:val="21"/>
          <w:szCs w:val="21"/>
          <w:lang w:eastAsia="en-GB"/>
        </w:rPr>
        <w:t xml:space="preserve">, C. (2013) Offsets and Conservation of the Species of the EU Habitats and Birds Directives. </w:t>
      </w:r>
      <w:r w:rsidRPr="00462C0B">
        <w:rPr>
          <w:rFonts w:asciiTheme="majorBidi" w:eastAsiaTheme="minorEastAsia" w:hAnsiTheme="majorBidi" w:cstheme="majorBidi"/>
          <w:i/>
          <w:iCs/>
          <w:sz w:val="21"/>
          <w:szCs w:val="21"/>
          <w:lang w:eastAsia="en-GB"/>
        </w:rPr>
        <w:t xml:space="preserve">Conservation Biology, </w:t>
      </w:r>
      <w:r w:rsidRPr="00462C0B">
        <w:rPr>
          <w:rFonts w:asciiTheme="majorBidi" w:eastAsiaTheme="minorEastAsia" w:hAnsiTheme="majorBidi" w:cstheme="majorBidi"/>
          <w:sz w:val="21"/>
          <w:szCs w:val="21"/>
          <w:lang w:eastAsia="en-GB"/>
        </w:rPr>
        <w:t xml:space="preserve">27 (6), pp. 1335-1343. </w:t>
      </w:r>
    </w:p>
    <w:p w14:paraId="7413F73C"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Reiss, K.C., Hernandez, E. and Brown, M.T. (2009) Evaluation of permit success in wetland mitigation banking: a Florida case study. </w:t>
      </w:r>
      <w:r w:rsidRPr="00462C0B">
        <w:rPr>
          <w:rFonts w:asciiTheme="majorBidi" w:eastAsiaTheme="minorEastAsia" w:hAnsiTheme="majorBidi" w:cstheme="majorBidi"/>
          <w:i/>
          <w:iCs/>
          <w:sz w:val="21"/>
          <w:szCs w:val="21"/>
          <w:lang w:eastAsia="en-GB"/>
        </w:rPr>
        <w:t xml:space="preserve">Wetlands, </w:t>
      </w:r>
      <w:r w:rsidRPr="00462C0B">
        <w:rPr>
          <w:rFonts w:asciiTheme="majorBidi" w:eastAsiaTheme="minorEastAsia" w:hAnsiTheme="majorBidi" w:cstheme="majorBidi"/>
          <w:sz w:val="21"/>
          <w:szCs w:val="21"/>
          <w:lang w:eastAsia="en-GB"/>
        </w:rPr>
        <w:t xml:space="preserve">29 (3), pp. 907-918. </w:t>
      </w:r>
    </w:p>
    <w:p w14:paraId="3D00A42B"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Robertson, M.M. (2004) The </w:t>
      </w:r>
      <w:proofErr w:type="spellStart"/>
      <w:r w:rsidRPr="00462C0B">
        <w:rPr>
          <w:rFonts w:asciiTheme="majorBidi" w:eastAsiaTheme="minorEastAsia" w:hAnsiTheme="majorBidi" w:cstheme="majorBidi"/>
          <w:sz w:val="21"/>
          <w:szCs w:val="21"/>
          <w:lang w:eastAsia="en-GB"/>
        </w:rPr>
        <w:t>neoliberalization</w:t>
      </w:r>
      <w:proofErr w:type="spellEnd"/>
      <w:r w:rsidRPr="00462C0B">
        <w:rPr>
          <w:rFonts w:asciiTheme="majorBidi" w:eastAsiaTheme="minorEastAsia" w:hAnsiTheme="majorBidi" w:cstheme="majorBidi"/>
          <w:sz w:val="21"/>
          <w:szCs w:val="21"/>
          <w:lang w:eastAsia="en-GB"/>
        </w:rPr>
        <w:t xml:space="preserve"> of ecosystem services: wetland mitigation banking and problems in environmental governance. </w:t>
      </w:r>
      <w:proofErr w:type="spellStart"/>
      <w:r w:rsidRPr="00462C0B">
        <w:rPr>
          <w:rFonts w:asciiTheme="majorBidi" w:eastAsiaTheme="minorEastAsia" w:hAnsiTheme="majorBidi" w:cstheme="majorBidi"/>
          <w:i/>
          <w:iCs/>
          <w:sz w:val="21"/>
          <w:szCs w:val="21"/>
          <w:lang w:eastAsia="en-GB"/>
        </w:rPr>
        <w:t>Geoforum</w:t>
      </w:r>
      <w:proofErr w:type="spellEnd"/>
      <w:r w:rsidRPr="00462C0B">
        <w:rPr>
          <w:rFonts w:asciiTheme="majorBidi" w:eastAsiaTheme="minorEastAsia" w:hAnsiTheme="majorBidi" w:cstheme="majorBidi"/>
          <w:i/>
          <w:iCs/>
          <w:sz w:val="21"/>
          <w:szCs w:val="21"/>
          <w:lang w:eastAsia="en-GB"/>
        </w:rPr>
        <w:t xml:space="preserve">, </w:t>
      </w:r>
      <w:r w:rsidRPr="00462C0B">
        <w:rPr>
          <w:rFonts w:asciiTheme="majorBidi" w:eastAsiaTheme="minorEastAsia" w:hAnsiTheme="majorBidi" w:cstheme="majorBidi"/>
          <w:sz w:val="21"/>
          <w:szCs w:val="21"/>
          <w:lang w:eastAsia="en-GB"/>
        </w:rPr>
        <w:t xml:space="preserve">35 (3), pp. 361-373. </w:t>
      </w:r>
    </w:p>
    <w:p w14:paraId="5CA6EAB3" w14:textId="2C11ADFE" w:rsidR="00F63455" w:rsidRDefault="00F63455" w:rsidP="00F63455">
      <w:pPr>
        <w:spacing w:before="100" w:beforeAutospacing="1" w:after="100" w:afterAutospacing="1" w:line="276" w:lineRule="auto"/>
        <w:rPr>
          <w:rFonts w:asciiTheme="majorBidi" w:eastAsiaTheme="minorEastAsia" w:hAnsiTheme="majorBidi" w:cstheme="majorBidi"/>
          <w:color w:val="222222"/>
          <w:sz w:val="21"/>
          <w:szCs w:val="21"/>
          <w:shd w:val="clear" w:color="auto" w:fill="FFFFFF"/>
          <w:lang w:eastAsia="en-GB"/>
        </w:rPr>
      </w:pPr>
      <w:r w:rsidRPr="00462C0B">
        <w:rPr>
          <w:rFonts w:asciiTheme="majorBidi" w:eastAsiaTheme="minorEastAsia" w:hAnsiTheme="majorBidi" w:cstheme="majorBidi"/>
          <w:color w:val="222222"/>
          <w:sz w:val="21"/>
          <w:szCs w:val="21"/>
          <w:shd w:val="clear" w:color="auto" w:fill="FFFFFF"/>
          <w:lang w:eastAsia="en-GB"/>
        </w:rPr>
        <w:t>Robertson, M. (2009). The work of wetland credit markets: two cases in entrepreneurial wetland banking. </w:t>
      </w:r>
      <w:r w:rsidRPr="00462C0B">
        <w:rPr>
          <w:rFonts w:asciiTheme="majorBidi" w:eastAsiaTheme="minorEastAsia" w:hAnsiTheme="majorBidi" w:cstheme="majorBidi"/>
          <w:i/>
          <w:iCs/>
          <w:color w:val="222222"/>
          <w:sz w:val="21"/>
          <w:szCs w:val="21"/>
          <w:shd w:val="clear" w:color="auto" w:fill="FFFFFF"/>
          <w:lang w:eastAsia="en-GB"/>
        </w:rPr>
        <w:t>Wetlands Ecology and Management</w:t>
      </w:r>
      <w:r w:rsidRPr="00462C0B">
        <w:rPr>
          <w:rFonts w:asciiTheme="majorBidi" w:eastAsiaTheme="minorEastAsia" w:hAnsiTheme="majorBidi" w:cstheme="majorBidi"/>
          <w:color w:val="222222"/>
          <w:sz w:val="21"/>
          <w:szCs w:val="21"/>
          <w:shd w:val="clear" w:color="auto" w:fill="FFFFFF"/>
          <w:lang w:eastAsia="en-GB"/>
        </w:rPr>
        <w:t>, </w:t>
      </w:r>
      <w:r w:rsidRPr="00462C0B">
        <w:rPr>
          <w:rFonts w:asciiTheme="majorBidi" w:eastAsiaTheme="minorEastAsia" w:hAnsiTheme="majorBidi" w:cstheme="majorBidi"/>
          <w:i/>
          <w:iCs/>
          <w:color w:val="222222"/>
          <w:sz w:val="21"/>
          <w:szCs w:val="21"/>
          <w:shd w:val="clear" w:color="auto" w:fill="FFFFFF"/>
          <w:lang w:eastAsia="en-GB"/>
        </w:rPr>
        <w:t>17</w:t>
      </w:r>
      <w:r w:rsidRPr="00462C0B">
        <w:rPr>
          <w:rFonts w:asciiTheme="majorBidi" w:eastAsiaTheme="minorEastAsia" w:hAnsiTheme="majorBidi" w:cstheme="majorBidi"/>
          <w:color w:val="222222"/>
          <w:sz w:val="21"/>
          <w:szCs w:val="21"/>
          <w:shd w:val="clear" w:color="auto" w:fill="FFFFFF"/>
          <w:lang w:eastAsia="en-GB"/>
        </w:rPr>
        <w:t>(1), 35-51.</w:t>
      </w:r>
    </w:p>
    <w:p w14:paraId="3D4CAA76" w14:textId="77777777" w:rsidR="0053501D" w:rsidRPr="00462C0B" w:rsidRDefault="0053501D" w:rsidP="00F63455">
      <w:pPr>
        <w:spacing w:before="100" w:beforeAutospacing="1" w:after="100" w:afterAutospacing="1" w:line="276" w:lineRule="auto"/>
        <w:rPr>
          <w:rFonts w:asciiTheme="majorBidi" w:eastAsiaTheme="minorEastAsia" w:hAnsiTheme="majorBidi" w:cstheme="majorBidi"/>
          <w:color w:val="222222"/>
          <w:sz w:val="21"/>
          <w:szCs w:val="21"/>
          <w:shd w:val="clear" w:color="auto" w:fill="FFFFFF"/>
          <w:lang w:eastAsia="en-GB"/>
        </w:rPr>
      </w:pPr>
    </w:p>
    <w:p w14:paraId="014A4455" w14:textId="77777777" w:rsidR="0053501D" w:rsidRPr="0053501D" w:rsidRDefault="0053501D" w:rsidP="0053501D">
      <w:pPr>
        <w:spacing w:before="100" w:beforeAutospacing="1" w:after="100" w:afterAutospacing="1" w:line="276" w:lineRule="auto"/>
        <w:rPr>
          <w:rFonts w:asciiTheme="majorBidi" w:eastAsiaTheme="minorEastAsia" w:hAnsiTheme="majorBidi" w:cstheme="majorBidi"/>
          <w:sz w:val="21"/>
          <w:szCs w:val="21"/>
          <w:lang w:eastAsia="en-GB"/>
        </w:rPr>
      </w:pPr>
    </w:p>
    <w:p w14:paraId="4621C22F" w14:textId="7DC0C9F0" w:rsidR="0053501D" w:rsidRDefault="0053501D" w:rsidP="0053501D">
      <w:pPr>
        <w:spacing w:before="100" w:beforeAutospacing="1" w:after="100" w:afterAutospacing="1" w:line="276" w:lineRule="auto"/>
        <w:rPr>
          <w:rFonts w:asciiTheme="majorBidi" w:eastAsiaTheme="minorEastAsia" w:hAnsiTheme="majorBidi" w:cstheme="majorBidi"/>
          <w:sz w:val="21"/>
          <w:szCs w:val="21"/>
          <w:lang w:eastAsia="en-GB"/>
        </w:rPr>
      </w:pPr>
      <w:proofErr w:type="spellStart"/>
      <w:r w:rsidRPr="0053501D">
        <w:rPr>
          <w:rFonts w:asciiTheme="majorBidi" w:eastAsiaTheme="minorEastAsia" w:hAnsiTheme="majorBidi" w:cstheme="majorBidi"/>
          <w:sz w:val="21"/>
          <w:szCs w:val="21"/>
          <w:lang w:eastAsia="en-GB"/>
        </w:rPr>
        <w:t>Ruoso</w:t>
      </w:r>
      <w:proofErr w:type="spellEnd"/>
      <w:r w:rsidRPr="0053501D">
        <w:rPr>
          <w:rFonts w:asciiTheme="majorBidi" w:eastAsiaTheme="minorEastAsia" w:hAnsiTheme="majorBidi" w:cstheme="majorBidi"/>
          <w:sz w:val="21"/>
          <w:szCs w:val="21"/>
          <w:lang w:eastAsia="en-GB"/>
        </w:rPr>
        <w:t xml:space="preserve">, L. E., &amp; Plant, R. (2021). Distributive and contextual equity in landholder participation in biodiversity offsets: a case study of biodiversity offsets in New South Wales, Australia. </w:t>
      </w:r>
      <w:r w:rsidRPr="0053501D">
        <w:rPr>
          <w:rFonts w:asciiTheme="majorBidi" w:eastAsiaTheme="minorEastAsia" w:hAnsiTheme="majorBidi" w:cstheme="majorBidi"/>
          <w:i/>
          <w:iCs/>
          <w:sz w:val="21"/>
          <w:szCs w:val="21"/>
          <w:lang w:eastAsia="en-GB"/>
        </w:rPr>
        <w:t>Ecosystems and People</w:t>
      </w:r>
      <w:r w:rsidRPr="0053501D">
        <w:rPr>
          <w:rFonts w:asciiTheme="majorBidi" w:eastAsiaTheme="minorEastAsia" w:hAnsiTheme="majorBidi" w:cstheme="majorBidi"/>
          <w:sz w:val="21"/>
          <w:szCs w:val="21"/>
          <w:lang w:eastAsia="en-GB"/>
        </w:rPr>
        <w:t>, 17(1), 6-24.</w:t>
      </w:r>
    </w:p>
    <w:p w14:paraId="4940EF6A" w14:textId="77777777" w:rsidR="0053501D" w:rsidRPr="00462C0B" w:rsidRDefault="0053501D" w:rsidP="0053501D">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color w:val="222222"/>
          <w:sz w:val="21"/>
          <w:szCs w:val="21"/>
          <w:shd w:val="clear" w:color="auto" w:fill="FFFFFF"/>
          <w:lang w:eastAsia="zh-CN"/>
        </w:rPr>
        <w:t>Ruhl, J.B. and Salzman, J.E., 2006. The effects of wetland mitigation banking on people. </w:t>
      </w:r>
      <w:r w:rsidRPr="00462C0B">
        <w:rPr>
          <w:rFonts w:asciiTheme="majorBidi" w:eastAsiaTheme="minorEastAsia" w:hAnsiTheme="majorBidi" w:cstheme="majorBidi"/>
          <w:i/>
          <w:iCs/>
          <w:color w:val="222222"/>
          <w:sz w:val="21"/>
          <w:szCs w:val="21"/>
          <w:shd w:val="clear" w:color="auto" w:fill="FFFFFF"/>
          <w:lang w:eastAsia="zh-CN"/>
        </w:rPr>
        <w:t>National Wetlands Newsletter</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28</w:t>
      </w:r>
      <w:r w:rsidRPr="00462C0B">
        <w:rPr>
          <w:rFonts w:asciiTheme="majorBidi" w:eastAsiaTheme="minorEastAsia" w:hAnsiTheme="majorBidi" w:cstheme="majorBidi"/>
          <w:color w:val="222222"/>
          <w:sz w:val="21"/>
          <w:szCs w:val="21"/>
          <w:shd w:val="clear" w:color="auto" w:fill="FFFFFF"/>
          <w:lang w:eastAsia="zh-CN"/>
        </w:rPr>
        <w:t>(2).</w:t>
      </w:r>
    </w:p>
    <w:p w14:paraId="0A86B025" w14:textId="18235759" w:rsidR="00F63455"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Salzman., J., and Ruhl, J.,B. (2000) Currencies and the Commodification of Environmental Law. Stanford Law Review, 52. 607 – 694.</w:t>
      </w:r>
    </w:p>
    <w:p w14:paraId="28FCC752"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proofErr w:type="spellStart"/>
      <w:r w:rsidRPr="00462C0B">
        <w:rPr>
          <w:rFonts w:asciiTheme="majorBidi" w:eastAsiaTheme="minorEastAsia" w:hAnsiTheme="majorBidi" w:cstheme="majorBidi"/>
          <w:sz w:val="21"/>
          <w:szCs w:val="21"/>
          <w:lang w:eastAsia="zh-CN"/>
        </w:rPr>
        <w:t>Selinske</w:t>
      </w:r>
      <w:proofErr w:type="spellEnd"/>
      <w:r w:rsidRPr="00462C0B">
        <w:rPr>
          <w:rFonts w:asciiTheme="majorBidi" w:eastAsiaTheme="minorEastAsia" w:hAnsiTheme="majorBidi" w:cstheme="majorBidi"/>
          <w:sz w:val="21"/>
          <w:szCs w:val="21"/>
          <w:lang w:eastAsia="zh-CN"/>
        </w:rPr>
        <w:t>, M.J., Cooke, B., Torabi, N., Hardy, M.J., Knight, A.T. and Bekessy, S.A., (2017). Locating financial incentives among diverse motivations for long-term private land conservation. Ecology and Society, 22(2).</w:t>
      </w:r>
    </w:p>
    <w:p w14:paraId="04776989"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proofErr w:type="spellStart"/>
      <w:r w:rsidRPr="00462C0B">
        <w:rPr>
          <w:rFonts w:asciiTheme="majorBidi" w:eastAsiaTheme="minorEastAsia" w:hAnsiTheme="majorBidi" w:cstheme="majorBidi"/>
          <w:color w:val="222222"/>
          <w:sz w:val="21"/>
          <w:szCs w:val="21"/>
          <w:shd w:val="clear" w:color="auto" w:fill="FFFFFF"/>
          <w:lang w:eastAsia="zh-CN"/>
        </w:rPr>
        <w:t>Selinske</w:t>
      </w:r>
      <w:proofErr w:type="spellEnd"/>
      <w:r w:rsidRPr="00462C0B">
        <w:rPr>
          <w:rFonts w:asciiTheme="majorBidi" w:eastAsiaTheme="minorEastAsia" w:hAnsiTheme="majorBidi" w:cstheme="majorBidi"/>
          <w:color w:val="222222"/>
          <w:sz w:val="21"/>
          <w:szCs w:val="21"/>
          <w:shd w:val="clear" w:color="auto" w:fill="FFFFFF"/>
          <w:lang w:eastAsia="zh-CN"/>
        </w:rPr>
        <w:t>, M.J., Howard, N., Fitzsimons, J.A., Hardy, M.J. and Knight, A.T., (2022). “Splitting the bill” for conservation: Perceptions and uptake of financial incentives by landholders managing privately protected areas. </w:t>
      </w:r>
      <w:r w:rsidRPr="00462C0B">
        <w:rPr>
          <w:rFonts w:asciiTheme="majorBidi" w:eastAsiaTheme="minorEastAsia" w:hAnsiTheme="majorBidi" w:cstheme="majorBidi"/>
          <w:i/>
          <w:iCs/>
          <w:color w:val="222222"/>
          <w:sz w:val="21"/>
          <w:szCs w:val="21"/>
          <w:shd w:val="clear" w:color="auto" w:fill="FFFFFF"/>
          <w:lang w:eastAsia="zh-CN"/>
        </w:rPr>
        <w:t>Conservation Science and Practice</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4</w:t>
      </w:r>
      <w:r w:rsidRPr="00462C0B">
        <w:rPr>
          <w:rFonts w:asciiTheme="majorBidi" w:eastAsiaTheme="minorEastAsia" w:hAnsiTheme="majorBidi" w:cstheme="majorBidi"/>
          <w:color w:val="222222"/>
          <w:sz w:val="21"/>
          <w:szCs w:val="21"/>
          <w:shd w:val="clear" w:color="auto" w:fill="FFFFFF"/>
          <w:lang w:eastAsia="zh-CN"/>
        </w:rPr>
        <w:t>(4), p.e12660.</w:t>
      </w:r>
    </w:p>
    <w:p w14:paraId="741870F4"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proofErr w:type="spellStart"/>
      <w:r w:rsidRPr="00462C0B">
        <w:rPr>
          <w:rFonts w:asciiTheme="majorBidi" w:eastAsiaTheme="minorEastAsia" w:hAnsiTheme="majorBidi" w:cstheme="majorBidi"/>
          <w:color w:val="222222"/>
          <w:sz w:val="21"/>
          <w:szCs w:val="21"/>
          <w:shd w:val="clear" w:color="auto" w:fill="FFFFFF"/>
          <w:lang w:eastAsia="zh-CN"/>
        </w:rPr>
        <w:t>Selinske</w:t>
      </w:r>
      <w:proofErr w:type="spellEnd"/>
      <w:r w:rsidRPr="00462C0B">
        <w:rPr>
          <w:rFonts w:asciiTheme="majorBidi" w:eastAsiaTheme="minorEastAsia" w:hAnsiTheme="majorBidi" w:cstheme="majorBidi"/>
          <w:color w:val="222222"/>
          <w:sz w:val="21"/>
          <w:szCs w:val="21"/>
          <w:shd w:val="clear" w:color="auto" w:fill="FFFFFF"/>
          <w:lang w:eastAsia="zh-CN"/>
        </w:rPr>
        <w:t xml:space="preserve">, M.J., Howard, N., Fitzsimons, J.A., Hardy, M.J., Smillie, K., Forbes, J., </w:t>
      </w:r>
      <w:proofErr w:type="spellStart"/>
      <w:r w:rsidRPr="00462C0B">
        <w:rPr>
          <w:rFonts w:asciiTheme="majorBidi" w:eastAsiaTheme="minorEastAsia" w:hAnsiTheme="majorBidi" w:cstheme="majorBidi"/>
          <w:color w:val="222222"/>
          <w:sz w:val="21"/>
          <w:szCs w:val="21"/>
          <w:shd w:val="clear" w:color="auto" w:fill="FFFFFF"/>
          <w:lang w:eastAsia="zh-CN"/>
        </w:rPr>
        <w:t>Tymms</w:t>
      </w:r>
      <w:proofErr w:type="spellEnd"/>
      <w:r w:rsidRPr="00462C0B">
        <w:rPr>
          <w:rFonts w:asciiTheme="majorBidi" w:eastAsiaTheme="minorEastAsia" w:hAnsiTheme="majorBidi" w:cstheme="majorBidi"/>
          <w:color w:val="222222"/>
          <w:sz w:val="21"/>
          <w:szCs w:val="21"/>
          <w:shd w:val="clear" w:color="auto" w:fill="FFFFFF"/>
          <w:lang w:eastAsia="zh-CN"/>
        </w:rPr>
        <w:t>, K. and Knight, A.T., (2019). Monitoring and evaluating the social and psychological dimensions that contribute to privately protected area program effectiveness. </w:t>
      </w:r>
      <w:r w:rsidRPr="00462C0B">
        <w:rPr>
          <w:rFonts w:asciiTheme="majorBidi" w:eastAsiaTheme="minorEastAsia" w:hAnsiTheme="majorBidi" w:cstheme="majorBidi"/>
          <w:i/>
          <w:iCs/>
          <w:color w:val="222222"/>
          <w:sz w:val="21"/>
          <w:szCs w:val="21"/>
          <w:shd w:val="clear" w:color="auto" w:fill="FFFFFF"/>
          <w:lang w:eastAsia="zh-CN"/>
        </w:rPr>
        <w:t>Biological Conservation</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229</w:t>
      </w:r>
      <w:r w:rsidRPr="00462C0B">
        <w:rPr>
          <w:rFonts w:asciiTheme="majorBidi" w:eastAsiaTheme="minorEastAsia" w:hAnsiTheme="majorBidi" w:cstheme="majorBidi"/>
          <w:color w:val="222222"/>
          <w:sz w:val="21"/>
          <w:szCs w:val="21"/>
          <w:shd w:val="clear" w:color="auto" w:fill="FFFFFF"/>
          <w:lang w:eastAsia="zh-CN"/>
        </w:rPr>
        <w:t>,170-178.</w:t>
      </w:r>
    </w:p>
    <w:p w14:paraId="68B225B7"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Simpson, K. H., de Vries, F., Dallimer, M., Armsworth, P. R., &amp; Hanley, N. (2022). Ecological and economic implications of alternative metrics in biodiversity offset markets. </w:t>
      </w:r>
      <w:r w:rsidRPr="00462C0B">
        <w:rPr>
          <w:rFonts w:asciiTheme="majorBidi" w:eastAsiaTheme="minorEastAsia" w:hAnsiTheme="majorBidi" w:cstheme="majorBidi"/>
          <w:i/>
          <w:iCs/>
          <w:color w:val="222222"/>
          <w:sz w:val="21"/>
          <w:szCs w:val="21"/>
          <w:shd w:val="clear" w:color="auto" w:fill="FFFFFF"/>
          <w:lang w:eastAsia="zh-CN"/>
        </w:rPr>
        <w:t>Conservation Biology</w:t>
      </w:r>
      <w:r w:rsidRPr="00462C0B">
        <w:rPr>
          <w:rFonts w:asciiTheme="majorBidi" w:eastAsiaTheme="minorEastAsia" w:hAnsiTheme="majorBidi" w:cstheme="majorBidi"/>
          <w:color w:val="222222"/>
          <w:sz w:val="21"/>
          <w:szCs w:val="21"/>
          <w:shd w:val="clear" w:color="auto" w:fill="FFFFFF"/>
          <w:lang w:eastAsia="zh-CN"/>
        </w:rPr>
        <w:t>.</w:t>
      </w:r>
    </w:p>
    <w:p w14:paraId="155DDF09"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Simpson, K.H., de Vries, F., Dallimer, M., Armsworth, P.R. and Hanley, N., (2021a). Understanding the Performance of Biodiversity Offset Markets: Evidence from An Integrated Ecological-Economic Model. </w:t>
      </w:r>
      <w:r w:rsidRPr="00462C0B">
        <w:rPr>
          <w:rFonts w:asciiTheme="majorBidi" w:eastAsiaTheme="minorEastAsia" w:hAnsiTheme="majorBidi" w:cstheme="majorBidi"/>
          <w:i/>
          <w:iCs/>
          <w:color w:val="222222"/>
          <w:sz w:val="21"/>
          <w:szCs w:val="21"/>
          <w:shd w:val="clear" w:color="auto" w:fill="FFFFFF"/>
          <w:lang w:eastAsia="zh-CN"/>
        </w:rPr>
        <w:t>Land Economics</w:t>
      </w:r>
      <w:r w:rsidRPr="00462C0B">
        <w:rPr>
          <w:rFonts w:asciiTheme="majorBidi" w:eastAsiaTheme="minorEastAsia" w:hAnsiTheme="majorBidi" w:cstheme="majorBidi"/>
          <w:color w:val="222222"/>
          <w:sz w:val="21"/>
          <w:szCs w:val="21"/>
          <w:shd w:val="clear" w:color="auto" w:fill="FFFFFF"/>
          <w:lang w:eastAsia="zh-CN"/>
        </w:rPr>
        <w:t>, pp.030420-0032R.</w:t>
      </w:r>
    </w:p>
    <w:p w14:paraId="4D4211EB"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Simpson, K., Hanley, N., Armsworth, P., de Vries, F., &amp; Dallimer, M. (2021b). Incentivising biodiversity net gain with an offset market. </w:t>
      </w:r>
      <w:r w:rsidRPr="00462C0B">
        <w:rPr>
          <w:rFonts w:asciiTheme="majorBidi" w:eastAsiaTheme="minorEastAsia" w:hAnsiTheme="majorBidi" w:cstheme="majorBidi"/>
          <w:i/>
          <w:iCs/>
          <w:color w:val="222222"/>
          <w:sz w:val="21"/>
          <w:szCs w:val="21"/>
          <w:shd w:val="clear" w:color="auto" w:fill="FFFFFF"/>
          <w:lang w:eastAsia="zh-CN"/>
        </w:rPr>
        <w:t>Q Open</w:t>
      </w:r>
      <w:r w:rsidRPr="00462C0B">
        <w:rPr>
          <w:rFonts w:asciiTheme="majorBidi" w:eastAsiaTheme="minorEastAsia" w:hAnsiTheme="majorBidi" w:cstheme="majorBidi"/>
          <w:color w:val="222222"/>
          <w:sz w:val="21"/>
          <w:szCs w:val="21"/>
          <w:shd w:val="clear" w:color="auto" w:fill="FFFFFF"/>
          <w:lang w:eastAsia="zh-CN"/>
        </w:rPr>
        <w:t>, </w:t>
      </w:r>
      <w:r w:rsidRPr="00462C0B">
        <w:rPr>
          <w:rFonts w:asciiTheme="majorBidi" w:eastAsiaTheme="minorEastAsia" w:hAnsiTheme="majorBidi" w:cstheme="majorBidi"/>
          <w:i/>
          <w:iCs/>
          <w:color w:val="222222"/>
          <w:sz w:val="21"/>
          <w:szCs w:val="21"/>
          <w:shd w:val="clear" w:color="auto" w:fill="FFFFFF"/>
          <w:lang w:eastAsia="zh-CN"/>
        </w:rPr>
        <w:t>1</w:t>
      </w:r>
      <w:r w:rsidRPr="00462C0B">
        <w:rPr>
          <w:rFonts w:asciiTheme="majorBidi" w:eastAsiaTheme="minorEastAsia" w:hAnsiTheme="majorBidi" w:cstheme="majorBidi"/>
          <w:color w:val="222222"/>
          <w:sz w:val="21"/>
          <w:szCs w:val="21"/>
          <w:shd w:val="clear" w:color="auto" w:fill="FFFFFF"/>
          <w:lang w:eastAsia="zh-CN"/>
        </w:rPr>
        <w:t>(1), qoab004.</w:t>
      </w:r>
    </w:p>
    <w:p w14:paraId="7AB6404E" w14:textId="6F7F4CC0" w:rsidR="00F63455"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proofErr w:type="spellStart"/>
      <w:r w:rsidRPr="00462C0B">
        <w:rPr>
          <w:rFonts w:asciiTheme="majorBidi" w:eastAsiaTheme="minorEastAsia" w:hAnsiTheme="majorBidi" w:cstheme="majorBidi"/>
          <w:color w:val="222222"/>
          <w:sz w:val="21"/>
          <w:szCs w:val="21"/>
          <w:shd w:val="clear" w:color="auto" w:fill="FFFFFF"/>
          <w:lang w:eastAsia="zh-CN"/>
        </w:rPr>
        <w:t>Sponagel</w:t>
      </w:r>
      <w:proofErr w:type="spellEnd"/>
      <w:r w:rsidRPr="00462C0B">
        <w:rPr>
          <w:rFonts w:asciiTheme="majorBidi" w:eastAsiaTheme="minorEastAsia" w:hAnsiTheme="majorBidi" w:cstheme="majorBidi"/>
          <w:color w:val="222222"/>
          <w:sz w:val="21"/>
          <w:szCs w:val="21"/>
          <w:shd w:val="clear" w:color="auto" w:fill="FFFFFF"/>
          <w:lang w:eastAsia="zh-CN"/>
        </w:rPr>
        <w:t xml:space="preserve">, C., </w:t>
      </w:r>
      <w:proofErr w:type="spellStart"/>
      <w:r w:rsidRPr="00462C0B">
        <w:rPr>
          <w:rFonts w:asciiTheme="majorBidi" w:eastAsiaTheme="minorEastAsia" w:hAnsiTheme="majorBidi" w:cstheme="majorBidi"/>
          <w:color w:val="222222"/>
          <w:sz w:val="21"/>
          <w:szCs w:val="21"/>
          <w:shd w:val="clear" w:color="auto" w:fill="FFFFFF"/>
          <w:lang w:eastAsia="zh-CN"/>
        </w:rPr>
        <w:t>Angenendt</w:t>
      </w:r>
      <w:proofErr w:type="spellEnd"/>
      <w:r w:rsidRPr="00462C0B">
        <w:rPr>
          <w:rFonts w:asciiTheme="majorBidi" w:eastAsiaTheme="minorEastAsia" w:hAnsiTheme="majorBidi" w:cstheme="majorBidi"/>
          <w:color w:val="222222"/>
          <w:sz w:val="21"/>
          <w:szCs w:val="21"/>
          <w:shd w:val="clear" w:color="auto" w:fill="FFFFFF"/>
          <w:lang w:eastAsia="zh-CN"/>
        </w:rPr>
        <w:t>, E., Piepho, H.P. and Bahrs, E., (2021). Farmers’ preferences for nature conservation compensation measures with a focus on eco-accounts according to the German Nature Conservation Act. Land Use Policy, 104, p.105378.</w:t>
      </w:r>
    </w:p>
    <w:p w14:paraId="01B0657A" w14:textId="1B2FFD9D" w:rsidR="00FF69F3" w:rsidRPr="00462C0B" w:rsidRDefault="00FF69F3" w:rsidP="00F63455">
      <w:pPr>
        <w:spacing w:line="276" w:lineRule="auto"/>
        <w:rPr>
          <w:rFonts w:asciiTheme="majorBidi" w:eastAsiaTheme="minorEastAsia" w:hAnsiTheme="majorBidi" w:cstheme="majorBidi"/>
          <w:color w:val="222222"/>
          <w:sz w:val="21"/>
          <w:szCs w:val="21"/>
          <w:shd w:val="clear" w:color="auto" w:fill="FFFFFF"/>
          <w:lang w:eastAsia="zh-CN"/>
        </w:rPr>
      </w:pPr>
      <w:r w:rsidRPr="00FF69F3">
        <w:rPr>
          <w:rFonts w:asciiTheme="majorBidi" w:eastAsiaTheme="minorEastAsia" w:hAnsiTheme="majorBidi" w:cstheme="majorBidi"/>
          <w:color w:val="222222"/>
          <w:sz w:val="21"/>
          <w:szCs w:val="21"/>
          <w:shd w:val="clear" w:color="auto" w:fill="FFFFFF"/>
          <w:lang w:eastAsia="zh-CN"/>
        </w:rPr>
        <w:t>State of NSW and Office of Environment and Heritage</w:t>
      </w:r>
      <w:r>
        <w:rPr>
          <w:rFonts w:asciiTheme="majorBidi" w:eastAsiaTheme="minorEastAsia" w:hAnsiTheme="majorBidi" w:cstheme="majorBidi"/>
          <w:color w:val="222222"/>
          <w:sz w:val="21"/>
          <w:szCs w:val="21"/>
          <w:shd w:val="clear" w:color="auto" w:fill="FFFFFF"/>
          <w:lang w:eastAsia="zh-CN"/>
        </w:rPr>
        <w:t>. (</w:t>
      </w:r>
      <w:r w:rsidRPr="00FF69F3">
        <w:rPr>
          <w:rFonts w:asciiTheme="majorBidi" w:eastAsiaTheme="minorEastAsia" w:hAnsiTheme="majorBidi" w:cstheme="majorBidi"/>
          <w:color w:val="222222"/>
          <w:sz w:val="21"/>
          <w:szCs w:val="21"/>
          <w:shd w:val="clear" w:color="auto" w:fill="FFFFFF"/>
          <w:lang w:eastAsia="zh-CN"/>
        </w:rPr>
        <w:t>2014</w:t>
      </w:r>
      <w:r>
        <w:rPr>
          <w:rFonts w:asciiTheme="majorBidi" w:eastAsiaTheme="minorEastAsia" w:hAnsiTheme="majorBidi" w:cstheme="majorBidi"/>
          <w:color w:val="222222"/>
          <w:sz w:val="21"/>
          <w:szCs w:val="21"/>
          <w:shd w:val="clear" w:color="auto" w:fill="FFFFFF"/>
          <w:lang w:eastAsia="zh-CN"/>
        </w:rPr>
        <w:t xml:space="preserve">) </w:t>
      </w:r>
      <w:proofErr w:type="spellStart"/>
      <w:r w:rsidR="00352406" w:rsidRPr="00352406">
        <w:rPr>
          <w:rFonts w:asciiTheme="majorBidi" w:eastAsiaTheme="minorEastAsia" w:hAnsiTheme="majorBidi" w:cstheme="majorBidi"/>
          <w:color w:val="222222"/>
          <w:sz w:val="21"/>
          <w:szCs w:val="21"/>
          <w:shd w:val="clear" w:color="auto" w:fill="FFFFFF"/>
          <w:lang w:eastAsia="zh-CN"/>
        </w:rPr>
        <w:t>BioBanking</w:t>
      </w:r>
      <w:proofErr w:type="spellEnd"/>
      <w:r w:rsidR="00352406" w:rsidRPr="00352406">
        <w:rPr>
          <w:rFonts w:asciiTheme="majorBidi" w:eastAsiaTheme="minorEastAsia" w:hAnsiTheme="majorBidi" w:cstheme="majorBidi"/>
          <w:color w:val="222222"/>
          <w:sz w:val="21"/>
          <w:szCs w:val="21"/>
          <w:shd w:val="clear" w:color="auto" w:fill="FFFFFF"/>
          <w:lang w:eastAsia="zh-CN"/>
        </w:rPr>
        <w:t xml:space="preserve"> Scheme: Statutory Review Report</w:t>
      </w:r>
      <w:r w:rsidR="00352406">
        <w:rPr>
          <w:rFonts w:asciiTheme="majorBidi" w:eastAsiaTheme="minorEastAsia" w:hAnsiTheme="majorBidi" w:cstheme="majorBidi"/>
          <w:color w:val="222222"/>
          <w:sz w:val="21"/>
          <w:szCs w:val="21"/>
          <w:shd w:val="clear" w:color="auto" w:fill="FFFFFF"/>
          <w:lang w:eastAsia="zh-CN"/>
        </w:rPr>
        <w:t xml:space="preserve">. Online: </w:t>
      </w:r>
      <w:hyperlink r:id="rId23" w:history="1">
        <w:r w:rsidR="00352406" w:rsidRPr="007B225E">
          <w:rPr>
            <w:rStyle w:val="Hyperlink"/>
            <w:rFonts w:asciiTheme="majorBidi" w:eastAsiaTheme="minorEastAsia" w:hAnsiTheme="majorBidi" w:cstheme="majorBidi"/>
            <w:sz w:val="21"/>
            <w:szCs w:val="21"/>
            <w:shd w:val="clear" w:color="auto" w:fill="FFFFFF"/>
            <w:lang w:eastAsia="zh-CN"/>
          </w:rPr>
          <w:t>https://www.environment.nsw.gov.au/resources/biobanking/140695bbrev.pdf</w:t>
        </w:r>
      </w:hyperlink>
      <w:r w:rsidR="00352406">
        <w:rPr>
          <w:rFonts w:asciiTheme="majorBidi" w:eastAsiaTheme="minorEastAsia" w:hAnsiTheme="majorBidi" w:cstheme="majorBidi"/>
          <w:color w:val="222222"/>
          <w:sz w:val="21"/>
          <w:szCs w:val="21"/>
          <w:shd w:val="clear" w:color="auto" w:fill="FFFFFF"/>
          <w:lang w:eastAsia="zh-CN"/>
        </w:rPr>
        <w:t xml:space="preserve"> </w:t>
      </w:r>
    </w:p>
    <w:p w14:paraId="3CCDEBAB"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Stephenson, K. and Tutko, B., (2018). The Role of in Lieu Fee Programs in Wetland/Stream Mitigation Credit Trading: Illustrations from Virginia and Georgia. </w:t>
      </w:r>
      <w:r w:rsidRPr="00462C0B">
        <w:rPr>
          <w:rFonts w:asciiTheme="majorBidi" w:eastAsiaTheme="minorEastAsia" w:hAnsiTheme="majorBidi" w:cstheme="majorBidi"/>
          <w:i/>
          <w:iCs/>
          <w:color w:val="222222"/>
          <w:sz w:val="21"/>
          <w:szCs w:val="21"/>
          <w:shd w:val="clear" w:color="auto" w:fill="FFFFFF"/>
          <w:lang w:eastAsia="zh-CN"/>
        </w:rPr>
        <w:t>Wetlands</w:t>
      </w:r>
      <w:r w:rsidRPr="00462C0B">
        <w:rPr>
          <w:rFonts w:asciiTheme="majorBidi" w:eastAsiaTheme="minorEastAsia" w:hAnsiTheme="majorBidi" w:cstheme="majorBidi"/>
          <w:color w:val="222222"/>
          <w:sz w:val="21"/>
          <w:szCs w:val="21"/>
          <w:shd w:val="clear" w:color="auto" w:fill="FFFFFF"/>
          <w:lang w:eastAsia="zh-CN"/>
        </w:rPr>
        <w:t>, 38(6), 1211-1221.</w:t>
      </w:r>
    </w:p>
    <w:p w14:paraId="42D6D85C"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r w:rsidRPr="00462C0B">
        <w:rPr>
          <w:rFonts w:asciiTheme="majorBidi" w:eastAsiaTheme="minorEastAsia" w:hAnsiTheme="majorBidi" w:cstheme="majorBidi"/>
          <w:color w:val="222222"/>
          <w:sz w:val="21"/>
          <w:szCs w:val="21"/>
          <w:shd w:val="clear" w:color="auto" w:fill="FFFFFF"/>
          <w:lang w:eastAsia="zh-CN"/>
        </w:rPr>
        <w:t>Sullivan, S. and Hannis, M., (2015). Nets and frames, losses and gains: Value struggles in engagements with biodiversity offsetting policy in England. </w:t>
      </w:r>
      <w:r w:rsidRPr="00462C0B">
        <w:rPr>
          <w:rFonts w:asciiTheme="majorBidi" w:eastAsiaTheme="minorEastAsia" w:hAnsiTheme="majorBidi" w:cstheme="majorBidi"/>
          <w:i/>
          <w:iCs/>
          <w:color w:val="222222"/>
          <w:sz w:val="21"/>
          <w:szCs w:val="21"/>
          <w:shd w:val="clear" w:color="auto" w:fill="FFFFFF"/>
          <w:lang w:eastAsia="zh-CN"/>
        </w:rPr>
        <w:t>Ecosystem Services</w:t>
      </w:r>
      <w:r w:rsidRPr="00462C0B">
        <w:rPr>
          <w:rFonts w:asciiTheme="majorBidi" w:eastAsiaTheme="minorEastAsia" w:hAnsiTheme="majorBidi" w:cstheme="majorBidi"/>
          <w:color w:val="222222"/>
          <w:sz w:val="21"/>
          <w:szCs w:val="21"/>
          <w:shd w:val="clear" w:color="auto" w:fill="FFFFFF"/>
          <w:lang w:eastAsia="zh-CN"/>
        </w:rPr>
        <w:t>, 15, 162-173.</w:t>
      </w:r>
    </w:p>
    <w:p w14:paraId="47372813"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proofErr w:type="spellStart"/>
      <w:r w:rsidRPr="00462C0B">
        <w:rPr>
          <w:rFonts w:asciiTheme="majorBidi" w:eastAsiaTheme="minorEastAsia" w:hAnsiTheme="majorBidi" w:cstheme="majorBidi"/>
          <w:color w:val="222222"/>
          <w:sz w:val="21"/>
          <w:szCs w:val="21"/>
          <w:shd w:val="clear" w:color="auto" w:fill="FFFFFF"/>
          <w:lang w:eastAsia="zh-CN"/>
        </w:rPr>
        <w:t>Taherzadeh</w:t>
      </w:r>
      <w:proofErr w:type="spellEnd"/>
      <w:r w:rsidRPr="00462C0B">
        <w:rPr>
          <w:rFonts w:asciiTheme="majorBidi" w:eastAsiaTheme="minorEastAsia" w:hAnsiTheme="majorBidi" w:cstheme="majorBidi"/>
          <w:color w:val="222222"/>
          <w:sz w:val="21"/>
          <w:szCs w:val="21"/>
          <w:shd w:val="clear" w:color="auto" w:fill="FFFFFF"/>
          <w:lang w:eastAsia="zh-CN"/>
        </w:rPr>
        <w:t xml:space="preserve">, O. and Howley, P., (2018). No net loss of what, for </w:t>
      </w:r>
      <w:proofErr w:type="gramStart"/>
      <w:r w:rsidRPr="00462C0B">
        <w:rPr>
          <w:rFonts w:asciiTheme="majorBidi" w:eastAsiaTheme="minorEastAsia" w:hAnsiTheme="majorBidi" w:cstheme="majorBidi"/>
          <w:color w:val="222222"/>
          <w:sz w:val="21"/>
          <w:szCs w:val="21"/>
          <w:shd w:val="clear" w:color="auto" w:fill="FFFFFF"/>
          <w:lang w:eastAsia="zh-CN"/>
        </w:rPr>
        <w:t>whom?:</w:t>
      </w:r>
      <w:proofErr w:type="gramEnd"/>
      <w:r w:rsidRPr="00462C0B">
        <w:rPr>
          <w:rFonts w:asciiTheme="majorBidi" w:eastAsiaTheme="minorEastAsia" w:hAnsiTheme="majorBidi" w:cstheme="majorBidi"/>
          <w:color w:val="222222"/>
          <w:sz w:val="21"/>
          <w:szCs w:val="21"/>
          <w:shd w:val="clear" w:color="auto" w:fill="FFFFFF"/>
          <w:lang w:eastAsia="zh-CN"/>
        </w:rPr>
        <w:t xml:space="preserve"> stakeholder perspectives to </w:t>
      </w:r>
      <w:proofErr w:type="spellStart"/>
      <w:r w:rsidRPr="00462C0B">
        <w:rPr>
          <w:rFonts w:asciiTheme="majorBidi" w:eastAsiaTheme="minorEastAsia" w:hAnsiTheme="majorBidi" w:cstheme="majorBidi"/>
          <w:color w:val="222222"/>
          <w:sz w:val="21"/>
          <w:szCs w:val="21"/>
          <w:shd w:val="clear" w:color="auto" w:fill="FFFFFF"/>
          <w:lang w:eastAsia="zh-CN"/>
        </w:rPr>
        <w:t>iodiversity</w:t>
      </w:r>
      <w:proofErr w:type="spellEnd"/>
      <w:r w:rsidRPr="00462C0B">
        <w:rPr>
          <w:rFonts w:asciiTheme="majorBidi" w:eastAsiaTheme="minorEastAsia" w:hAnsiTheme="majorBidi" w:cstheme="majorBidi"/>
          <w:color w:val="222222"/>
          <w:sz w:val="21"/>
          <w:szCs w:val="21"/>
          <w:shd w:val="clear" w:color="auto" w:fill="FFFFFF"/>
          <w:lang w:eastAsia="zh-CN"/>
        </w:rPr>
        <w:t xml:space="preserve"> Offsetting in England. </w:t>
      </w:r>
      <w:r w:rsidRPr="00462C0B">
        <w:rPr>
          <w:rFonts w:asciiTheme="majorBidi" w:eastAsiaTheme="minorEastAsia" w:hAnsiTheme="majorBidi" w:cstheme="majorBidi"/>
          <w:i/>
          <w:iCs/>
          <w:color w:val="222222"/>
          <w:sz w:val="21"/>
          <w:szCs w:val="21"/>
          <w:shd w:val="clear" w:color="auto" w:fill="FFFFFF"/>
          <w:lang w:eastAsia="zh-CN"/>
        </w:rPr>
        <w:t>Environment, development and sustainability</w:t>
      </w:r>
      <w:r w:rsidRPr="00462C0B">
        <w:rPr>
          <w:rFonts w:asciiTheme="majorBidi" w:eastAsiaTheme="minorEastAsia" w:hAnsiTheme="majorBidi" w:cstheme="majorBidi"/>
          <w:color w:val="222222"/>
          <w:sz w:val="21"/>
          <w:szCs w:val="21"/>
          <w:shd w:val="clear" w:color="auto" w:fill="FFFFFF"/>
          <w:lang w:eastAsia="zh-CN"/>
        </w:rPr>
        <w:t>, 20(4),1807-1830.</w:t>
      </w:r>
    </w:p>
    <w:p w14:paraId="2A0934E6"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Treweek, J., ten Kate, K., Butcher, B., Venn, O., Garland, L., Wells, M., Moran, D. and Thompson, S. (2009) </w:t>
      </w:r>
      <w:r w:rsidRPr="00462C0B">
        <w:rPr>
          <w:rFonts w:asciiTheme="majorBidi" w:eastAsiaTheme="minorEastAsia" w:hAnsiTheme="majorBidi" w:cstheme="majorBidi"/>
          <w:i/>
          <w:iCs/>
          <w:sz w:val="21"/>
          <w:szCs w:val="21"/>
          <w:lang w:eastAsia="en-GB"/>
        </w:rPr>
        <w:t xml:space="preserve">Scoping study for the design and use of biodiversity offsets in an English Context Final Report to </w:t>
      </w:r>
      <w:r w:rsidRPr="00462C0B">
        <w:rPr>
          <w:rFonts w:asciiTheme="majorBidi" w:eastAsiaTheme="minorEastAsia" w:hAnsiTheme="majorBidi" w:cstheme="majorBidi"/>
          <w:i/>
          <w:iCs/>
          <w:sz w:val="21"/>
          <w:szCs w:val="21"/>
          <w:lang w:eastAsia="en-GB"/>
        </w:rPr>
        <w:lastRenderedPageBreak/>
        <w:t xml:space="preserve">Defra (Contract NE 0801). </w:t>
      </w:r>
      <w:r w:rsidRPr="00462C0B">
        <w:rPr>
          <w:rFonts w:asciiTheme="majorBidi" w:eastAsiaTheme="minorEastAsia" w:hAnsiTheme="majorBidi" w:cstheme="majorBidi"/>
          <w:sz w:val="21"/>
          <w:szCs w:val="21"/>
          <w:lang w:eastAsia="en-GB"/>
        </w:rPr>
        <w:t xml:space="preserve">London: Defra. Available: </w:t>
      </w:r>
      <w:hyperlink r:id="rId24" w:tgtFrame="_blank" w:history="1">
        <w:r w:rsidRPr="00462C0B">
          <w:rPr>
            <w:rFonts w:asciiTheme="majorBidi" w:eastAsiaTheme="minorEastAsia" w:hAnsiTheme="majorBidi" w:cstheme="majorBidi"/>
            <w:color w:val="0563C1" w:themeColor="hyperlink"/>
            <w:sz w:val="21"/>
            <w:szCs w:val="21"/>
            <w:u w:val="single"/>
            <w:lang w:eastAsia="en-GB"/>
          </w:rPr>
          <w:t>http://www.forest-trends.org/documents/files/doc_2400.pdf</w:t>
        </w:r>
      </w:hyperlink>
      <w:r w:rsidRPr="00462C0B">
        <w:rPr>
          <w:rFonts w:asciiTheme="majorBidi" w:eastAsiaTheme="minorEastAsia" w:hAnsiTheme="majorBidi" w:cstheme="majorBidi"/>
          <w:sz w:val="21"/>
          <w:szCs w:val="21"/>
          <w:lang w:eastAsia="en-GB"/>
        </w:rPr>
        <w:t xml:space="preserve">. </w:t>
      </w:r>
    </w:p>
    <w:p w14:paraId="3E3F26C8" w14:textId="77777777" w:rsidR="00F63455" w:rsidRPr="00462C0B" w:rsidRDefault="00F63455" w:rsidP="00F63455">
      <w:pPr>
        <w:spacing w:line="276" w:lineRule="auto"/>
        <w:rPr>
          <w:rFonts w:asciiTheme="majorBidi" w:eastAsiaTheme="minorEastAsia" w:hAnsiTheme="majorBidi" w:cstheme="majorBidi"/>
          <w:color w:val="222222"/>
          <w:sz w:val="21"/>
          <w:szCs w:val="21"/>
          <w:shd w:val="clear" w:color="auto" w:fill="FFFFFF"/>
          <w:lang w:eastAsia="zh-CN"/>
        </w:rPr>
      </w:pPr>
      <w:proofErr w:type="spellStart"/>
      <w:r w:rsidRPr="00462C0B">
        <w:rPr>
          <w:rFonts w:asciiTheme="majorBidi" w:eastAsiaTheme="minorEastAsia" w:hAnsiTheme="majorBidi" w:cstheme="majorBidi"/>
          <w:color w:val="222222"/>
          <w:sz w:val="21"/>
          <w:szCs w:val="21"/>
          <w:shd w:val="clear" w:color="auto" w:fill="FFFFFF"/>
          <w:lang w:eastAsia="zh-CN"/>
        </w:rPr>
        <w:t>Vaissière</w:t>
      </w:r>
      <w:proofErr w:type="spellEnd"/>
      <w:r w:rsidRPr="00462C0B">
        <w:rPr>
          <w:rFonts w:asciiTheme="majorBidi" w:eastAsiaTheme="minorEastAsia" w:hAnsiTheme="majorBidi" w:cstheme="majorBidi"/>
          <w:color w:val="222222"/>
          <w:sz w:val="21"/>
          <w:szCs w:val="21"/>
          <w:shd w:val="clear" w:color="auto" w:fill="FFFFFF"/>
          <w:lang w:eastAsia="zh-CN"/>
        </w:rPr>
        <w:t xml:space="preserve">, A.C., </w:t>
      </w:r>
      <w:proofErr w:type="spellStart"/>
      <w:r w:rsidRPr="00462C0B">
        <w:rPr>
          <w:rFonts w:asciiTheme="majorBidi" w:eastAsiaTheme="minorEastAsia" w:hAnsiTheme="majorBidi" w:cstheme="majorBidi"/>
          <w:color w:val="222222"/>
          <w:sz w:val="21"/>
          <w:szCs w:val="21"/>
          <w:shd w:val="clear" w:color="auto" w:fill="FFFFFF"/>
          <w:lang w:eastAsia="zh-CN"/>
        </w:rPr>
        <w:t>Levrel</w:t>
      </w:r>
      <w:proofErr w:type="spellEnd"/>
      <w:r w:rsidRPr="00462C0B">
        <w:rPr>
          <w:rFonts w:asciiTheme="majorBidi" w:eastAsiaTheme="minorEastAsia" w:hAnsiTheme="majorBidi" w:cstheme="majorBidi"/>
          <w:color w:val="222222"/>
          <w:sz w:val="21"/>
          <w:szCs w:val="21"/>
          <w:shd w:val="clear" w:color="auto" w:fill="FFFFFF"/>
          <w:lang w:eastAsia="zh-CN"/>
        </w:rPr>
        <w:t xml:space="preserve">, H. and Pioch, S., (2017). Wetland mitigation banking: Negotiations with stakeholders in a zone of ecological-economic viability. </w:t>
      </w:r>
      <w:r w:rsidRPr="00462C0B">
        <w:rPr>
          <w:rFonts w:asciiTheme="majorBidi" w:eastAsiaTheme="minorEastAsia" w:hAnsiTheme="majorBidi" w:cstheme="majorBidi"/>
          <w:i/>
          <w:iCs/>
          <w:color w:val="222222"/>
          <w:sz w:val="21"/>
          <w:szCs w:val="21"/>
          <w:shd w:val="clear" w:color="auto" w:fill="FFFFFF"/>
          <w:lang w:eastAsia="zh-CN"/>
        </w:rPr>
        <w:t>Land use policy</w:t>
      </w:r>
      <w:r w:rsidRPr="00462C0B">
        <w:rPr>
          <w:rFonts w:asciiTheme="majorBidi" w:eastAsiaTheme="minorEastAsia" w:hAnsiTheme="majorBidi" w:cstheme="majorBidi"/>
          <w:color w:val="222222"/>
          <w:sz w:val="21"/>
          <w:szCs w:val="21"/>
          <w:shd w:val="clear" w:color="auto" w:fill="FFFFFF"/>
          <w:lang w:eastAsia="zh-CN"/>
        </w:rPr>
        <w:t>, 69, 512-518.</w:t>
      </w:r>
    </w:p>
    <w:p w14:paraId="17BFAE96"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van </w:t>
      </w:r>
      <w:proofErr w:type="spellStart"/>
      <w:r w:rsidRPr="00462C0B">
        <w:rPr>
          <w:rFonts w:asciiTheme="majorBidi" w:eastAsiaTheme="minorEastAsia" w:hAnsiTheme="majorBidi" w:cstheme="majorBidi"/>
          <w:sz w:val="21"/>
          <w:szCs w:val="21"/>
          <w:lang w:eastAsia="en-GB"/>
        </w:rPr>
        <w:t>Teeffelen</w:t>
      </w:r>
      <w:proofErr w:type="spellEnd"/>
      <w:r w:rsidRPr="00462C0B">
        <w:rPr>
          <w:rFonts w:asciiTheme="majorBidi" w:eastAsiaTheme="minorEastAsia" w:hAnsiTheme="majorBidi" w:cstheme="majorBidi"/>
          <w:sz w:val="21"/>
          <w:szCs w:val="21"/>
          <w:lang w:eastAsia="en-GB"/>
        </w:rPr>
        <w:t xml:space="preserve">, A.J.A., Opdam, P., Waetzold, F., Hartig, F., </w:t>
      </w:r>
      <w:proofErr w:type="spellStart"/>
      <w:r w:rsidRPr="00462C0B">
        <w:rPr>
          <w:rFonts w:asciiTheme="majorBidi" w:eastAsiaTheme="minorEastAsia" w:hAnsiTheme="majorBidi" w:cstheme="majorBidi"/>
          <w:sz w:val="21"/>
          <w:szCs w:val="21"/>
          <w:lang w:eastAsia="en-GB"/>
        </w:rPr>
        <w:t>Johst</w:t>
      </w:r>
      <w:proofErr w:type="spellEnd"/>
      <w:r w:rsidRPr="00462C0B">
        <w:rPr>
          <w:rFonts w:asciiTheme="majorBidi" w:eastAsiaTheme="minorEastAsia" w:hAnsiTheme="majorBidi" w:cstheme="majorBidi"/>
          <w:sz w:val="21"/>
          <w:szCs w:val="21"/>
          <w:lang w:eastAsia="en-GB"/>
        </w:rPr>
        <w:t xml:space="preserve">, K., Drechsler, M., Vos, C.C., Wissel, S. and </w:t>
      </w:r>
      <w:proofErr w:type="spellStart"/>
      <w:r w:rsidRPr="00462C0B">
        <w:rPr>
          <w:rFonts w:asciiTheme="majorBidi" w:eastAsiaTheme="minorEastAsia" w:hAnsiTheme="majorBidi" w:cstheme="majorBidi"/>
          <w:sz w:val="21"/>
          <w:szCs w:val="21"/>
          <w:lang w:eastAsia="en-GB"/>
        </w:rPr>
        <w:t>Quetier</w:t>
      </w:r>
      <w:proofErr w:type="spellEnd"/>
      <w:r w:rsidRPr="00462C0B">
        <w:rPr>
          <w:rFonts w:asciiTheme="majorBidi" w:eastAsiaTheme="minorEastAsia" w:hAnsiTheme="majorBidi" w:cstheme="majorBidi"/>
          <w:sz w:val="21"/>
          <w:szCs w:val="21"/>
          <w:lang w:eastAsia="en-GB"/>
        </w:rPr>
        <w:t xml:space="preserve">, F. (2014) Ecological and economic conditions and associated institutional challenges for conservation banking in dynamic landscapes. </w:t>
      </w:r>
      <w:r w:rsidRPr="00462C0B">
        <w:rPr>
          <w:rFonts w:asciiTheme="majorBidi" w:eastAsiaTheme="minorEastAsia" w:hAnsiTheme="majorBidi" w:cstheme="majorBidi"/>
          <w:i/>
          <w:iCs/>
          <w:sz w:val="21"/>
          <w:szCs w:val="21"/>
          <w:lang w:eastAsia="en-GB"/>
        </w:rPr>
        <w:t xml:space="preserve">Landscape and Urban Planning, </w:t>
      </w:r>
      <w:r w:rsidRPr="00462C0B">
        <w:rPr>
          <w:rFonts w:asciiTheme="majorBidi" w:eastAsiaTheme="minorEastAsia" w:hAnsiTheme="majorBidi" w:cstheme="majorBidi"/>
          <w:sz w:val="21"/>
          <w:szCs w:val="21"/>
          <w:lang w:eastAsia="en-GB"/>
        </w:rPr>
        <w:t xml:space="preserve">130, 64-72. </w:t>
      </w:r>
    </w:p>
    <w:p w14:paraId="2F99617F"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proofErr w:type="spellStart"/>
      <w:r w:rsidRPr="00462C0B">
        <w:rPr>
          <w:rFonts w:asciiTheme="majorBidi" w:eastAsiaTheme="minorEastAsia" w:hAnsiTheme="majorBidi" w:cstheme="majorBidi"/>
          <w:sz w:val="21"/>
          <w:szCs w:val="21"/>
          <w:lang w:eastAsia="en-GB"/>
        </w:rPr>
        <w:t>Wainger</w:t>
      </w:r>
      <w:proofErr w:type="spellEnd"/>
      <w:r w:rsidRPr="00462C0B">
        <w:rPr>
          <w:rFonts w:asciiTheme="majorBidi" w:eastAsiaTheme="minorEastAsia" w:hAnsiTheme="majorBidi" w:cstheme="majorBidi"/>
          <w:sz w:val="21"/>
          <w:szCs w:val="21"/>
          <w:lang w:eastAsia="en-GB"/>
        </w:rPr>
        <w:t xml:space="preserve">, L.A., King, D.M., Mack, R.N., Price, E.W. and Maslin, T. (2010) Can the concept of ecosystem services be practically applied to improve natural resource management decisions? </w:t>
      </w:r>
      <w:r w:rsidRPr="00462C0B">
        <w:rPr>
          <w:rFonts w:asciiTheme="majorBidi" w:eastAsiaTheme="minorEastAsia" w:hAnsiTheme="majorBidi" w:cstheme="majorBidi"/>
          <w:i/>
          <w:iCs/>
          <w:sz w:val="21"/>
          <w:szCs w:val="21"/>
          <w:lang w:eastAsia="en-GB"/>
        </w:rPr>
        <w:t xml:space="preserve">Ecological Economics, </w:t>
      </w:r>
      <w:r w:rsidRPr="00462C0B">
        <w:rPr>
          <w:rFonts w:asciiTheme="majorBidi" w:eastAsiaTheme="minorEastAsia" w:hAnsiTheme="majorBidi" w:cstheme="majorBidi"/>
          <w:sz w:val="21"/>
          <w:szCs w:val="21"/>
          <w:lang w:eastAsia="en-GB"/>
        </w:rPr>
        <w:t xml:space="preserve">69 (5), 978-987. </w:t>
      </w:r>
    </w:p>
    <w:p w14:paraId="2A3E1709" w14:textId="77777777" w:rsidR="00F63455" w:rsidRPr="00462C0B" w:rsidRDefault="00F63455" w:rsidP="00F63455">
      <w:pPr>
        <w:spacing w:after="0" w:line="276" w:lineRule="auto"/>
        <w:rPr>
          <w:rFonts w:asciiTheme="majorBidi" w:eastAsia="Times New Roman" w:hAnsiTheme="majorBidi" w:cstheme="majorBidi"/>
          <w:color w:val="000000"/>
          <w:sz w:val="21"/>
          <w:szCs w:val="21"/>
          <w:lang w:eastAsia="zh-CN"/>
        </w:rPr>
      </w:pPr>
      <w:r w:rsidRPr="00462C0B">
        <w:rPr>
          <w:rFonts w:asciiTheme="majorBidi" w:eastAsia="Times New Roman" w:hAnsiTheme="majorBidi" w:cstheme="majorBidi"/>
          <w:color w:val="000000"/>
          <w:sz w:val="21"/>
          <w:szCs w:val="21"/>
          <w:lang w:eastAsia="zh-CN"/>
        </w:rPr>
        <w:t>White, T.B., Bull, J.W., Toombs, T.P. and Knight, A.T., 2021. Uncovering opportunities for effective species conservation banking requires navigating technical and practical complexities. </w:t>
      </w:r>
      <w:r w:rsidRPr="00462C0B">
        <w:rPr>
          <w:rFonts w:asciiTheme="majorBidi" w:eastAsia="Times New Roman" w:hAnsiTheme="majorBidi" w:cstheme="majorBidi"/>
          <w:i/>
          <w:iCs/>
          <w:color w:val="000000"/>
          <w:sz w:val="21"/>
          <w:szCs w:val="21"/>
          <w:lang w:eastAsia="zh-CN"/>
        </w:rPr>
        <w:t>Conservation Science and Practice</w:t>
      </w:r>
      <w:r w:rsidRPr="00462C0B">
        <w:rPr>
          <w:rFonts w:asciiTheme="majorBidi" w:eastAsia="Times New Roman" w:hAnsiTheme="majorBidi" w:cstheme="majorBidi"/>
          <w:color w:val="000000"/>
          <w:sz w:val="21"/>
          <w:szCs w:val="21"/>
          <w:lang w:eastAsia="zh-CN"/>
        </w:rPr>
        <w:t>, </w:t>
      </w:r>
      <w:r w:rsidRPr="00462C0B">
        <w:rPr>
          <w:rFonts w:asciiTheme="majorBidi" w:eastAsia="Times New Roman" w:hAnsiTheme="majorBidi" w:cstheme="majorBidi"/>
          <w:i/>
          <w:iCs/>
          <w:color w:val="000000"/>
          <w:sz w:val="21"/>
          <w:szCs w:val="21"/>
          <w:lang w:eastAsia="zh-CN"/>
        </w:rPr>
        <w:t>3</w:t>
      </w:r>
      <w:r w:rsidRPr="00462C0B">
        <w:rPr>
          <w:rFonts w:asciiTheme="majorBidi" w:eastAsia="Times New Roman" w:hAnsiTheme="majorBidi" w:cstheme="majorBidi"/>
          <w:color w:val="000000"/>
          <w:sz w:val="21"/>
          <w:szCs w:val="21"/>
          <w:lang w:eastAsia="zh-CN"/>
        </w:rPr>
        <w:t>(7), p.e431.</w:t>
      </w:r>
    </w:p>
    <w:p w14:paraId="2B067C34" w14:textId="77777777" w:rsidR="00F63455" w:rsidRPr="00462C0B" w:rsidRDefault="00F63455" w:rsidP="00F63455">
      <w:pPr>
        <w:spacing w:line="276" w:lineRule="auto"/>
        <w:rPr>
          <w:rFonts w:asciiTheme="majorBidi" w:eastAsiaTheme="minorEastAsia" w:hAnsiTheme="majorBidi" w:cstheme="majorBidi"/>
          <w:sz w:val="21"/>
          <w:szCs w:val="21"/>
          <w:lang w:eastAsia="zh-CN"/>
        </w:rPr>
      </w:pPr>
      <w:r w:rsidRPr="00462C0B">
        <w:rPr>
          <w:rFonts w:asciiTheme="majorBidi" w:eastAsiaTheme="minorEastAsia" w:hAnsiTheme="majorBidi" w:cstheme="majorBidi"/>
          <w:sz w:val="21"/>
          <w:szCs w:val="21"/>
          <w:lang w:eastAsia="zh-CN"/>
        </w:rPr>
        <w:t>Wissel and Watzold 2010</w:t>
      </w:r>
    </w:p>
    <w:p w14:paraId="32D798C1" w14:textId="77777777" w:rsidR="00F63455" w:rsidRPr="00462C0B" w:rsidRDefault="00F63455" w:rsidP="00F63455">
      <w:pPr>
        <w:spacing w:before="100" w:beforeAutospacing="1" w:after="100" w:afterAutospacing="1" w:line="276" w:lineRule="auto"/>
        <w:rPr>
          <w:rFonts w:asciiTheme="majorBidi" w:eastAsiaTheme="minorEastAsia" w:hAnsiTheme="majorBidi" w:cstheme="majorBidi"/>
          <w:sz w:val="21"/>
          <w:szCs w:val="21"/>
          <w:lang w:eastAsia="en-GB"/>
        </w:rPr>
      </w:pPr>
      <w:r w:rsidRPr="00462C0B">
        <w:rPr>
          <w:rFonts w:asciiTheme="majorBidi" w:eastAsiaTheme="minorEastAsia" w:hAnsiTheme="majorBidi" w:cstheme="majorBidi"/>
          <w:sz w:val="21"/>
          <w:szCs w:val="21"/>
          <w:lang w:eastAsia="en-GB"/>
        </w:rPr>
        <w:t xml:space="preserve">Wissel, S. and Watzold, F. (2010) A conceptual analysis of the application of tradable permits to biodiversity conservation. </w:t>
      </w:r>
      <w:r w:rsidRPr="00462C0B">
        <w:rPr>
          <w:rFonts w:asciiTheme="majorBidi" w:eastAsiaTheme="minorEastAsia" w:hAnsiTheme="majorBidi" w:cstheme="majorBidi"/>
          <w:i/>
          <w:iCs/>
          <w:sz w:val="21"/>
          <w:szCs w:val="21"/>
          <w:lang w:eastAsia="en-GB"/>
        </w:rPr>
        <w:t xml:space="preserve">Conservation Biology : The Journal of the Society for Conservation Biology, </w:t>
      </w:r>
      <w:r w:rsidRPr="00462C0B">
        <w:rPr>
          <w:rFonts w:asciiTheme="majorBidi" w:eastAsiaTheme="minorEastAsia" w:hAnsiTheme="majorBidi" w:cstheme="majorBidi"/>
          <w:sz w:val="21"/>
          <w:szCs w:val="21"/>
          <w:lang w:eastAsia="en-GB"/>
        </w:rPr>
        <w:t xml:space="preserve">24 (2), pp. 404-411. </w:t>
      </w:r>
    </w:p>
    <w:p w14:paraId="3AC6B9B6" w14:textId="77777777" w:rsidR="00AE05A6" w:rsidRPr="00462C0B" w:rsidRDefault="00AE05A6" w:rsidP="00A61FB6">
      <w:pPr>
        <w:spacing w:line="360" w:lineRule="auto"/>
        <w:jc w:val="both"/>
        <w:rPr>
          <w:rFonts w:ascii="Times New Roman" w:hAnsi="Times New Roman" w:cs="Times New Roman"/>
          <w:color w:val="7030A0"/>
          <w:sz w:val="24"/>
          <w:szCs w:val="24"/>
        </w:rPr>
      </w:pPr>
    </w:p>
    <w:p w14:paraId="51020781" w14:textId="77777777" w:rsidR="00A65E8F" w:rsidRPr="00462C0B" w:rsidRDefault="00A65E8F" w:rsidP="00A65E8F">
      <w:pPr>
        <w:spacing w:line="360" w:lineRule="auto"/>
        <w:jc w:val="both"/>
        <w:rPr>
          <w:rFonts w:ascii="Times New Roman" w:hAnsi="Times New Roman" w:cs="Times New Roman"/>
          <w:sz w:val="24"/>
          <w:szCs w:val="24"/>
        </w:rPr>
      </w:pPr>
    </w:p>
    <w:p w14:paraId="171D62A6" w14:textId="77777777" w:rsidR="00A65E8F" w:rsidRPr="00462C0B" w:rsidRDefault="00A65E8F" w:rsidP="00812471">
      <w:pPr>
        <w:spacing w:line="360" w:lineRule="auto"/>
        <w:jc w:val="both"/>
        <w:rPr>
          <w:rFonts w:ascii="Times New Roman" w:hAnsi="Times New Roman" w:cs="Times New Roman"/>
          <w:sz w:val="24"/>
          <w:szCs w:val="24"/>
        </w:rPr>
      </w:pPr>
    </w:p>
    <w:p w14:paraId="0A835185" w14:textId="77777777" w:rsidR="00C41CC4" w:rsidRPr="00462C0B" w:rsidRDefault="00C41CC4" w:rsidP="00812471">
      <w:pPr>
        <w:spacing w:line="360" w:lineRule="auto"/>
        <w:jc w:val="both"/>
        <w:rPr>
          <w:rFonts w:ascii="Times New Roman" w:hAnsi="Times New Roman" w:cs="Times New Roman"/>
          <w:sz w:val="24"/>
          <w:szCs w:val="24"/>
        </w:rPr>
      </w:pPr>
    </w:p>
    <w:p w14:paraId="0F06BA61" w14:textId="77777777" w:rsidR="00C649F0" w:rsidRPr="00462C0B" w:rsidRDefault="00C649F0" w:rsidP="00812471">
      <w:pPr>
        <w:spacing w:line="360" w:lineRule="auto"/>
        <w:jc w:val="both"/>
        <w:rPr>
          <w:rFonts w:ascii="Times New Roman" w:hAnsi="Times New Roman" w:cs="Times New Roman"/>
          <w:sz w:val="24"/>
          <w:szCs w:val="24"/>
        </w:rPr>
      </w:pPr>
    </w:p>
    <w:p w14:paraId="41E9C74A" w14:textId="408F2B17" w:rsidR="008D0AF6" w:rsidRPr="00462C0B" w:rsidRDefault="008D0AF6" w:rsidP="00812471">
      <w:pPr>
        <w:spacing w:line="360" w:lineRule="auto"/>
        <w:jc w:val="both"/>
        <w:rPr>
          <w:rFonts w:ascii="Times New Roman" w:hAnsi="Times New Roman" w:cs="Times New Roman"/>
          <w:sz w:val="24"/>
          <w:szCs w:val="24"/>
        </w:rPr>
      </w:pPr>
    </w:p>
    <w:p w14:paraId="12CFE0CA" w14:textId="77777777" w:rsidR="00763295" w:rsidRPr="00462C0B" w:rsidRDefault="00763295" w:rsidP="009F485B">
      <w:pPr>
        <w:spacing w:line="360" w:lineRule="auto"/>
        <w:jc w:val="both"/>
        <w:rPr>
          <w:rFonts w:ascii="Times New Roman" w:hAnsi="Times New Roman" w:cs="Times New Roman"/>
          <w:b/>
          <w:bCs/>
          <w:sz w:val="24"/>
          <w:szCs w:val="24"/>
        </w:rPr>
      </w:pPr>
    </w:p>
    <w:sectPr w:rsidR="00763295" w:rsidRPr="00462C0B">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E1E1A" w14:textId="77777777" w:rsidR="00455EE1" w:rsidRDefault="00455EE1" w:rsidP="003462B4">
      <w:pPr>
        <w:spacing w:after="0" w:line="240" w:lineRule="auto"/>
      </w:pPr>
      <w:r>
        <w:separator/>
      </w:r>
    </w:p>
    <w:p w14:paraId="12C5C1AF" w14:textId="77777777" w:rsidR="00455EE1" w:rsidRDefault="00455EE1"/>
  </w:endnote>
  <w:endnote w:type="continuationSeparator" w:id="0">
    <w:p w14:paraId="7EBFFCC0" w14:textId="77777777" w:rsidR="00455EE1" w:rsidRDefault="00455EE1" w:rsidP="003462B4">
      <w:pPr>
        <w:spacing w:after="0" w:line="240" w:lineRule="auto"/>
      </w:pPr>
      <w:r>
        <w:continuationSeparator/>
      </w:r>
    </w:p>
    <w:p w14:paraId="26503AE0" w14:textId="77777777" w:rsidR="00455EE1" w:rsidRDefault="00455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738123"/>
      <w:docPartObj>
        <w:docPartGallery w:val="Page Numbers (Bottom of Page)"/>
        <w:docPartUnique/>
      </w:docPartObj>
    </w:sdtPr>
    <w:sdtEndPr>
      <w:rPr>
        <w:noProof/>
      </w:rPr>
    </w:sdtEndPr>
    <w:sdtContent>
      <w:p w14:paraId="0137CF4E" w14:textId="0F43F777" w:rsidR="00130127" w:rsidRDefault="001301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F52069" w14:textId="77777777" w:rsidR="00130127" w:rsidRDefault="00130127">
    <w:pPr>
      <w:pStyle w:val="Footer"/>
    </w:pPr>
  </w:p>
  <w:p w14:paraId="2A993418" w14:textId="77777777" w:rsidR="007C16CB" w:rsidRDefault="007C16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DA343" w14:textId="77777777" w:rsidR="00455EE1" w:rsidRDefault="00455EE1" w:rsidP="003462B4">
      <w:pPr>
        <w:spacing w:after="0" w:line="240" w:lineRule="auto"/>
      </w:pPr>
      <w:r>
        <w:separator/>
      </w:r>
    </w:p>
    <w:p w14:paraId="639D145C" w14:textId="77777777" w:rsidR="00455EE1" w:rsidRDefault="00455EE1"/>
  </w:footnote>
  <w:footnote w:type="continuationSeparator" w:id="0">
    <w:p w14:paraId="038A35F2" w14:textId="77777777" w:rsidR="00455EE1" w:rsidRDefault="00455EE1" w:rsidP="003462B4">
      <w:pPr>
        <w:spacing w:after="0" w:line="240" w:lineRule="auto"/>
      </w:pPr>
      <w:r>
        <w:continuationSeparator/>
      </w:r>
    </w:p>
    <w:p w14:paraId="6844310B" w14:textId="77777777" w:rsidR="00455EE1" w:rsidRDefault="00455EE1"/>
  </w:footnote>
  <w:footnote w:id="1">
    <w:p w14:paraId="48A4EB13" w14:textId="77777777" w:rsidR="004E681B" w:rsidRPr="00532821" w:rsidRDefault="004E681B" w:rsidP="004E681B">
      <w:pPr>
        <w:pStyle w:val="FootnoteText"/>
        <w:rPr>
          <w:rFonts w:asciiTheme="majorBidi" w:hAnsiTheme="majorBidi" w:cstheme="majorBidi"/>
        </w:rPr>
      </w:pPr>
      <w:r w:rsidRPr="00532821">
        <w:rPr>
          <w:rStyle w:val="FootnoteReference"/>
          <w:rFonts w:asciiTheme="majorBidi" w:hAnsiTheme="majorBidi" w:cstheme="majorBidi"/>
        </w:rPr>
        <w:footnoteRef/>
      </w:r>
      <w:r w:rsidRPr="00532821">
        <w:rPr>
          <w:rFonts w:asciiTheme="majorBidi" w:hAnsiTheme="majorBidi" w:cstheme="majorBidi"/>
        </w:rPr>
        <w:t xml:space="preserve"> </w:t>
      </w:r>
      <w:hyperlink r:id="rId1" w:history="1">
        <w:r w:rsidRPr="00532821">
          <w:rPr>
            <w:rStyle w:val="Hyperlink"/>
            <w:rFonts w:asciiTheme="majorBidi" w:hAnsiTheme="majorBidi" w:cstheme="majorBidi"/>
          </w:rPr>
          <w:t>https://ribits.ops.usace.army.mil/ords/f?p=107:158:15110915550763::NO</w:t>
        </w:r>
      </w:hyperlink>
      <w:r w:rsidRPr="00532821">
        <w:rPr>
          <w:rFonts w:asciiTheme="majorBidi" w:hAnsiTheme="majorBidi" w:cstheme="majorBidi"/>
        </w:rPr>
        <w:t xml:space="preserve"> </w:t>
      </w:r>
    </w:p>
  </w:footnote>
  <w:footnote w:id="2">
    <w:p w14:paraId="42FEE42C" w14:textId="228E0F3E" w:rsidR="003E3C57" w:rsidRPr="003E3C57" w:rsidRDefault="003E3C57">
      <w:pPr>
        <w:pStyle w:val="FootnoteText"/>
        <w:rPr>
          <w:rFonts w:asciiTheme="majorBidi" w:hAnsiTheme="majorBidi" w:cstheme="majorBidi"/>
        </w:rPr>
      </w:pPr>
      <w:r w:rsidRPr="003E3C57">
        <w:rPr>
          <w:rStyle w:val="FootnoteReference"/>
          <w:rFonts w:asciiTheme="majorBidi" w:hAnsiTheme="majorBidi" w:cstheme="majorBidi"/>
        </w:rPr>
        <w:footnoteRef/>
      </w:r>
      <w:r w:rsidRPr="003E3C57">
        <w:rPr>
          <w:rFonts w:asciiTheme="majorBidi" w:hAnsiTheme="majorBidi" w:cstheme="majorBidi"/>
        </w:rPr>
        <w:t xml:space="preserve"> </w:t>
      </w:r>
      <w:hyperlink r:id="rId2" w:history="1">
        <w:r w:rsidRPr="003E3C57">
          <w:rPr>
            <w:rStyle w:val="Hyperlink"/>
            <w:rFonts w:asciiTheme="majorBidi" w:hAnsiTheme="majorBidi" w:cstheme="majorBidi"/>
          </w:rPr>
          <w:t>https://www.epa.gov/sites/default/files/2015-11/documents/mitrule_report_october_2015.pdf</w:t>
        </w:r>
      </w:hyperlink>
      <w:r w:rsidRPr="003E3C57">
        <w:rPr>
          <w:rFonts w:asciiTheme="majorBidi" w:hAnsiTheme="majorBidi" w:cstheme="maj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1D09" w14:textId="3ACABD02" w:rsidR="00130127" w:rsidRDefault="00130127">
    <w:pPr>
      <w:pStyle w:val="Header"/>
      <w:jc w:val="center"/>
    </w:pPr>
  </w:p>
  <w:p w14:paraId="4578EEA4" w14:textId="77777777" w:rsidR="00130127" w:rsidRDefault="00130127">
    <w:pPr>
      <w:pStyle w:val="Header"/>
    </w:pPr>
  </w:p>
  <w:p w14:paraId="3DA555B4" w14:textId="77777777" w:rsidR="007C16CB" w:rsidRDefault="007C16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995"/>
    <w:multiLevelType w:val="hybridMultilevel"/>
    <w:tmpl w:val="D28C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7A59"/>
    <w:multiLevelType w:val="hybridMultilevel"/>
    <w:tmpl w:val="D6783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E5515"/>
    <w:multiLevelType w:val="hybridMultilevel"/>
    <w:tmpl w:val="3A06874A"/>
    <w:lvl w:ilvl="0" w:tplc="0809000F">
      <w:start w:val="1"/>
      <w:numFmt w:val="decimal"/>
      <w:lvlText w:val="%1."/>
      <w:lvlJc w:val="left"/>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C464A"/>
    <w:multiLevelType w:val="hybridMultilevel"/>
    <w:tmpl w:val="73F63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85448"/>
    <w:multiLevelType w:val="hybridMultilevel"/>
    <w:tmpl w:val="0F1A9DBE"/>
    <w:lvl w:ilvl="0" w:tplc="08090011">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4497A"/>
    <w:multiLevelType w:val="hybridMultilevel"/>
    <w:tmpl w:val="1154335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8168AC"/>
    <w:multiLevelType w:val="hybridMultilevel"/>
    <w:tmpl w:val="CAF2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373DB"/>
    <w:multiLevelType w:val="hybridMultilevel"/>
    <w:tmpl w:val="F54C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91994"/>
    <w:multiLevelType w:val="hybridMultilevel"/>
    <w:tmpl w:val="134E1D34"/>
    <w:lvl w:ilvl="0" w:tplc="92D0D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B74C88"/>
    <w:multiLevelType w:val="hybridMultilevel"/>
    <w:tmpl w:val="923CB4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DE0219"/>
    <w:multiLevelType w:val="multilevel"/>
    <w:tmpl w:val="7194C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936BE"/>
    <w:multiLevelType w:val="hybridMultilevel"/>
    <w:tmpl w:val="586E04AA"/>
    <w:lvl w:ilvl="0" w:tplc="08090015">
      <w:start w:val="1"/>
      <w:numFmt w:val="upperLetter"/>
      <w:lvlText w:val="%1."/>
      <w:lvlJc w:val="left"/>
      <w:pPr>
        <w:ind w:left="21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76A84"/>
    <w:multiLevelType w:val="hybridMultilevel"/>
    <w:tmpl w:val="12E6627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00CB2"/>
    <w:multiLevelType w:val="hybridMultilevel"/>
    <w:tmpl w:val="11543356"/>
    <w:lvl w:ilvl="0" w:tplc="03345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B3241"/>
    <w:multiLevelType w:val="hybridMultilevel"/>
    <w:tmpl w:val="4E60096A"/>
    <w:lvl w:ilvl="0" w:tplc="FFFFFFF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1D402C"/>
    <w:multiLevelType w:val="multilevel"/>
    <w:tmpl w:val="D80490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65153B"/>
    <w:multiLevelType w:val="hybridMultilevel"/>
    <w:tmpl w:val="4AA64E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A53C1"/>
    <w:multiLevelType w:val="hybridMultilevel"/>
    <w:tmpl w:val="C46270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B613CF"/>
    <w:multiLevelType w:val="hybridMultilevel"/>
    <w:tmpl w:val="23BC63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BF08CA"/>
    <w:multiLevelType w:val="hybridMultilevel"/>
    <w:tmpl w:val="FD9ABE22"/>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8918CF"/>
    <w:multiLevelType w:val="multilevel"/>
    <w:tmpl w:val="FA309D3E"/>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A9B2AD6"/>
    <w:multiLevelType w:val="hybridMultilevel"/>
    <w:tmpl w:val="6E8ECCDE"/>
    <w:lvl w:ilvl="0" w:tplc="0809000F">
      <w:start w:val="1"/>
      <w:numFmt w:val="decimal"/>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6A73D8"/>
    <w:multiLevelType w:val="hybridMultilevel"/>
    <w:tmpl w:val="FAB2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70EE8"/>
    <w:multiLevelType w:val="multilevel"/>
    <w:tmpl w:val="85604D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2C0382D"/>
    <w:multiLevelType w:val="hybridMultilevel"/>
    <w:tmpl w:val="851A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5031E"/>
    <w:multiLevelType w:val="hybridMultilevel"/>
    <w:tmpl w:val="4E44FD66"/>
    <w:lvl w:ilvl="0" w:tplc="0809000F">
      <w:start w:val="1"/>
      <w:numFmt w:val="decimal"/>
      <w:lvlText w:val="%1."/>
      <w:lvlJc w:val="left"/>
      <w:pPr>
        <w:ind w:left="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956EF3"/>
    <w:multiLevelType w:val="hybridMultilevel"/>
    <w:tmpl w:val="D62AC37E"/>
    <w:lvl w:ilvl="0" w:tplc="AC8E7060">
      <w:start w:val="1"/>
      <w:numFmt w:val="decimal"/>
      <w:lvlText w:val="%1."/>
      <w:lvlJc w:val="left"/>
      <w:pPr>
        <w:ind w:left="720" w:hanging="360"/>
      </w:pPr>
      <w:rPr>
        <w:rFonts w:hint="default"/>
      </w:rPr>
    </w:lvl>
    <w:lvl w:ilvl="1" w:tplc="4EA6A218">
      <w:numFmt w:val="bullet"/>
      <w:lvlText w:val="•"/>
      <w:lvlJc w:val="left"/>
      <w:pPr>
        <w:ind w:left="1800" w:hanging="72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9E338F"/>
    <w:multiLevelType w:val="hybridMultilevel"/>
    <w:tmpl w:val="93D85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BC3026"/>
    <w:multiLevelType w:val="hybridMultilevel"/>
    <w:tmpl w:val="CD0E4954"/>
    <w:lvl w:ilvl="0" w:tplc="08090005">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C617F"/>
    <w:multiLevelType w:val="hybridMultilevel"/>
    <w:tmpl w:val="3ED6E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F2D3C"/>
    <w:multiLevelType w:val="hybridMultilevel"/>
    <w:tmpl w:val="A96E7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B252ED"/>
    <w:multiLevelType w:val="hybridMultilevel"/>
    <w:tmpl w:val="1A98B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A00559"/>
    <w:multiLevelType w:val="hybridMultilevel"/>
    <w:tmpl w:val="C392362C"/>
    <w:lvl w:ilvl="0" w:tplc="206C2AE4">
      <w:start w:val="19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06EB7"/>
    <w:multiLevelType w:val="hybridMultilevel"/>
    <w:tmpl w:val="659C9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418403">
    <w:abstractNumId w:val="28"/>
  </w:num>
  <w:num w:numId="2" w16cid:durableId="724333771">
    <w:abstractNumId w:val="3"/>
  </w:num>
  <w:num w:numId="3" w16cid:durableId="1541742431">
    <w:abstractNumId w:val="16"/>
  </w:num>
  <w:num w:numId="4" w16cid:durableId="113208701">
    <w:abstractNumId w:val="9"/>
  </w:num>
  <w:num w:numId="5" w16cid:durableId="136993809">
    <w:abstractNumId w:val="1"/>
  </w:num>
  <w:num w:numId="6" w16cid:durableId="2003120234">
    <w:abstractNumId w:val="4"/>
  </w:num>
  <w:num w:numId="7" w16cid:durableId="103572259">
    <w:abstractNumId w:val="8"/>
  </w:num>
  <w:num w:numId="8" w16cid:durableId="1357736781">
    <w:abstractNumId w:val="17"/>
  </w:num>
  <w:num w:numId="9" w16cid:durableId="608969543">
    <w:abstractNumId w:val="33"/>
  </w:num>
  <w:num w:numId="10" w16cid:durableId="29645450">
    <w:abstractNumId w:val="11"/>
  </w:num>
  <w:num w:numId="11" w16cid:durableId="2098793363">
    <w:abstractNumId w:val="18"/>
  </w:num>
  <w:num w:numId="12" w16cid:durableId="1152215412">
    <w:abstractNumId w:val="2"/>
  </w:num>
  <w:num w:numId="13" w16cid:durableId="491603589">
    <w:abstractNumId w:val="19"/>
  </w:num>
  <w:num w:numId="14" w16cid:durableId="879170105">
    <w:abstractNumId w:val="21"/>
  </w:num>
  <w:num w:numId="15" w16cid:durableId="724059797">
    <w:abstractNumId w:val="25"/>
  </w:num>
  <w:num w:numId="16" w16cid:durableId="1873878497">
    <w:abstractNumId w:val="29"/>
  </w:num>
  <w:num w:numId="17" w16cid:durableId="1512449387">
    <w:abstractNumId w:val="0"/>
  </w:num>
  <w:num w:numId="18" w16cid:durableId="615332748">
    <w:abstractNumId w:val="24"/>
  </w:num>
  <w:num w:numId="19" w16cid:durableId="1236009267">
    <w:abstractNumId w:val="6"/>
  </w:num>
  <w:num w:numId="20" w16cid:durableId="2008049586">
    <w:abstractNumId w:val="15"/>
  </w:num>
  <w:num w:numId="21" w16cid:durableId="1398287654">
    <w:abstractNumId w:val="10"/>
  </w:num>
  <w:num w:numId="22" w16cid:durableId="392045179">
    <w:abstractNumId w:val="13"/>
  </w:num>
  <w:num w:numId="23" w16cid:durableId="375129211">
    <w:abstractNumId w:val="30"/>
  </w:num>
  <w:num w:numId="24" w16cid:durableId="1486166306">
    <w:abstractNumId w:val="26"/>
  </w:num>
  <w:num w:numId="25" w16cid:durableId="436100045">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5923274">
    <w:abstractNumId w:val="27"/>
  </w:num>
  <w:num w:numId="27" w16cid:durableId="1027751065">
    <w:abstractNumId w:val="12"/>
  </w:num>
  <w:num w:numId="28" w16cid:durableId="562445521">
    <w:abstractNumId w:val="14"/>
  </w:num>
  <w:num w:numId="29" w16cid:durableId="1640645190">
    <w:abstractNumId w:val="23"/>
  </w:num>
  <w:num w:numId="30" w16cid:durableId="1368407891">
    <w:abstractNumId w:val="31"/>
  </w:num>
  <w:num w:numId="31" w16cid:durableId="609121212">
    <w:abstractNumId w:val="5"/>
  </w:num>
  <w:num w:numId="32" w16cid:durableId="1666056612">
    <w:abstractNumId w:val="32"/>
  </w:num>
  <w:num w:numId="33" w16cid:durableId="1871608713">
    <w:abstractNumId w:val="7"/>
  </w:num>
  <w:num w:numId="34" w16cid:durableId="8343446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wNzMyszQxNrUwNjFR0lEKTi0uzszPAykwNK4FAIqox7wtAAAA"/>
  </w:docVars>
  <w:rsids>
    <w:rsidRoot w:val="00572036"/>
    <w:rsid w:val="000005DC"/>
    <w:rsid w:val="00000A3E"/>
    <w:rsid w:val="00000F12"/>
    <w:rsid w:val="00000F1D"/>
    <w:rsid w:val="00002C0D"/>
    <w:rsid w:val="00002E69"/>
    <w:rsid w:val="00006E8C"/>
    <w:rsid w:val="000070E4"/>
    <w:rsid w:val="00012183"/>
    <w:rsid w:val="0001248A"/>
    <w:rsid w:val="0001258E"/>
    <w:rsid w:val="000129C3"/>
    <w:rsid w:val="000132EC"/>
    <w:rsid w:val="00016C40"/>
    <w:rsid w:val="00017D32"/>
    <w:rsid w:val="00021A0F"/>
    <w:rsid w:val="00021EC8"/>
    <w:rsid w:val="00022C32"/>
    <w:rsid w:val="000231F1"/>
    <w:rsid w:val="00023BB3"/>
    <w:rsid w:val="00024324"/>
    <w:rsid w:val="000255B4"/>
    <w:rsid w:val="000257E3"/>
    <w:rsid w:val="00026C99"/>
    <w:rsid w:val="00026F6B"/>
    <w:rsid w:val="00027C3B"/>
    <w:rsid w:val="00030C71"/>
    <w:rsid w:val="00030E15"/>
    <w:rsid w:val="00031B62"/>
    <w:rsid w:val="00032409"/>
    <w:rsid w:val="00032422"/>
    <w:rsid w:val="00032805"/>
    <w:rsid w:val="00033136"/>
    <w:rsid w:val="000331F8"/>
    <w:rsid w:val="00040424"/>
    <w:rsid w:val="00041D93"/>
    <w:rsid w:val="00044229"/>
    <w:rsid w:val="0004478F"/>
    <w:rsid w:val="00044FC7"/>
    <w:rsid w:val="00045A1C"/>
    <w:rsid w:val="0004728C"/>
    <w:rsid w:val="0005099F"/>
    <w:rsid w:val="0005111C"/>
    <w:rsid w:val="000516E7"/>
    <w:rsid w:val="000527F1"/>
    <w:rsid w:val="0005555D"/>
    <w:rsid w:val="00056372"/>
    <w:rsid w:val="0006067E"/>
    <w:rsid w:val="000612C7"/>
    <w:rsid w:val="00061953"/>
    <w:rsid w:val="000622A1"/>
    <w:rsid w:val="00062784"/>
    <w:rsid w:val="00062795"/>
    <w:rsid w:val="00062BB9"/>
    <w:rsid w:val="0006760E"/>
    <w:rsid w:val="00067D22"/>
    <w:rsid w:val="000739A0"/>
    <w:rsid w:val="000754F4"/>
    <w:rsid w:val="00075A28"/>
    <w:rsid w:val="00075DEE"/>
    <w:rsid w:val="00077ACF"/>
    <w:rsid w:val="00077D48"/>
    <w:rsid w:val="000806C8"/>
    <w:rsid w:val="0008072E"/>
    <w:rsid w:val="00080C52"/>
    <w:rsid w:val="00081392"/>
    <w:rsid w:val="0008192F"/>
    <w:rsid w:val="00081A85"/>
    <w:rsid w:val="0008287A"/>
    <w:rsid w:val="000828D7"/>
    <w:rsid w:val="0008315C"/>
    <w:rsid w:val="00086B23"/>
    <w:rsid w:val="00086F8C"/>
    <w:rsid w:val="00087AA5"/>
    <w:rsid w:val="00091462"/>
    <w:rsid w:val="00091D03"/>
    <w:rsid w:val="00093DD1"/>
    <w:rsid w:val="00094586"/>
    <w:rsid w:val="0009526B"/>
    <w:rsid w:val="00095BC2"/>
    <w:rsid w:val="00096F10"/>
    <w:rsid w:val="0009727E"/>
    <w:rsid w:val="00097CBC"/>
    <w:rsid w:val="000A07E8"/>
    <w:rsid w:val="000A08FA"/>
    <w:rsid w:val="000A11EC"/>
    <w:rsid w:val="000A4810"/>
    <w:rsid w:val="000A4AFF"/>
    <w:rsid w:val="000A739B"/>
    <w:rsid w:val="000A7509"/>
    <w:rsid w:val="000A7607"/>
    <w:rsid w:val="000B06A1"/>
    <w:rsid w:val="000B096E"/>
    <w:rsid w:val="000B1595"/>
    <w:rsid w:val="000B2371"/>
    <w:rsid w:val="000B2578"/>
    <w:rsid w:val="000B36B2"/>
    <w:rsid w:val="000B4726"/>
    <w:rsid w:val="000B7ED1"/>
    <w:rsid w:val="000B7F56"/>
    <w:rsid w:val="000C008E"/>
    <w:rsid w:val="000C1026"/>
    <w:rsid w:val="000C24D0"/>
    <w:rsid w:val="000C3DDD"/>
    <w:rsid w:val="000C4CE5"/>
    <w:rsid w:val="000C55BD"/>
    <w:rsid w:val="000C6301"/>
    <w:rsid w:val="000C661B"/>
    <w:rsid w:val="000C7C39"/>
    <w:rsid w:val="000D14FE"/>
    <w:rsid w:val="000D27BA"/>
    <w:rsid w:val="000D3E55"/>
    <w:rsid w:val="000D4543"/>
    <w:rsid w:val="000D6A4D"/>
    <w:rsid w:val="000D7ABB"/>
    <w:rsid w:val="000E0839"/>
    <w:rsid w:val="000E16C7"/>
    <w:rsid w:val="000E41A4"/>
    <w:rsid w:val="000E4A56"/>
    <w:rsid w:val="000E798E"/>
    <w:rsid w:val="000F0C32"/>
    <w:rsid w:val="000F44B7"/>
    <w:rsid w:val="000F4DA1"/>
    <w:rsid w:val="000F642F"/>
    <w:rsid w:val="000F7A1F"/>
    <w:rsid w:val="000F7CE3"/>
    <w:rsid w:val="00101781"/>
    <w:rsid w:val="00102F1D"/>
    <w:rsid w:val="00104C71"/>
    <w:rsid w:val="00104E37"/>
    <w:rsid w:val="00104F85"/>
    <w:rsid w:val="001051FE"/>
    <w:rsid w:val="00105774"/>
    <w:rsid w:val="001063D4"/>
    <w:rsid w:val="00106AD9"/>
    <w:rsid w:val="001076AD"/>
    <w:rsid w:val="00107D66"/>
    <w:rsid w:val="00110A55"/>
    <w:rsid w:val="001121E8"/>
    <w:rsid w:val="001122B9"/>
    <w:rsid w:val="00112E20"/>
    <w:rsid w:val="00114A6D"/>
    <w:rsid w:val="001151FC"/>
    <w:rsid w:val="00115B53"/>
    <w:rsid w:val="0011646F"/>
    <w:rsid w:val="00116647"/>
    <w:rsid w:val="001167B1"/>
    <w:rsid w:val="00117FD6"/>
    <w:rsid w:val="00120940"/>
    <w:rsid w:val="00121912"/>
    <w:rsid w:val="00121E3A"/>
    <w:rsid w:val="001231F5"/>
    <w:rsid w:val="00123287"/>
    <w:rsid w:val="001241EE"/>
    <w:rsid w:val="00125383"/>
    <w:rsid w:val="0012571D"/>
    <w:rsid w:val="0012673E"/>
    <w:rsid w:val="00130127"/>
    <w:rsid w:val="00130D95"/>
    <w:rsid w:val="001310B6"/>
    <w:rsid w:val="0013180A"/>
    <w:rsid w:val="00131CA5"/>
    <w:rsid w:val="00134603"/>
    <w:rsid w:val="00134CB3"/>
    <w:rsid w:val="001364C8"/>
    <w:rsid w:val="0013733A"/>
    <w:rsid w:val="001405DB"/>
    <w:rsid w:val="00140B24"/>
    <w:rsid w:val="00142262"/>
    <w:rsid w:val="00145A19"/>
    <w:rsid w:val="00145F28"/>
    <w:rsid w:val="001464E7"/>
    <w:rsid w:val="00153796"/>
    <w:rsid w:val="00154C16"/>
    <w:rsid w:val="001553F2"/>
    <w:rsid w:val="00155D2E"/>
    <w:rsid w:val="00160C14"/>
    <w:rsid w:val="001614A8"/>
    <w:rsid w:val="00161F28"/>
    <w:rsid w:val="00162350"/>
    <w:rsid w:val="00162462"/>
    <w:rsid w:val="00163A07"/>
    <w:rsid w:val="00164BE2"/>
    <w:rsid w:val="00166427"/>
    <w:rsid w:val="00166C9E"/>
    <w:rsid w:val="00166CBA"/>
    <w:rsid w:val="0016755D"/>
    <w:rsid w:val="00167582"/>
    <w:rsid w:val="001679D4"/>
    <w:rsid w:val="00170CC9"/>
    <w:rsid w:val="00170FE2"/>
    <w:rsid w:val="00172E0D"/>
    <w:rsid w:val="001746F1"/>
    <w:rsid w:val="00176CA9"/>
    <w:rsid w:val="001802C8"/>
    <w:rsid w:val="001809E4"/>
    <w:rsid w:val="00180D11"/>
    <w:rsid w:val="001811E1"/>
    <w:rsid w:val="00182252"/>
    <w:rsid w:val="00183F04"/>
    <w:rsid w:val="0018445F"/>
    <w:rsid w:val="00185528"/>
    <w:rsid w:val="0018637C"/>
    <w:rsid w:val="00186E5B"/>
    <w:rsid w:val="00187D6A"/>
    <w:rsid w:val="00192906"/>
    <w:rsid w:val="00194C2F"/>
    <w:rsid w:val="00195328"/>
    <w:rsid w:val="00195890"/>
    <w:rsid w:val="00195AA7"/>
    <w:rsid w:val="0019686A"/>
    <w:rsid w:val="00197025"/>
    <w:rsid w:val="00197317"/>
    <w:rsid w:val="00197DB1"/>
    <w:rsid w:val="001A017A"/>
    <w:rsid w:val="001A0F5F"/>
    <w:rsid w:val="001A164A"/>
    <w:rsid w:val="001A18E2"/>
    <w:rsid w:val="001A1E1C"/>
    <w:rsid w:val="001A352F"/>
    <w:rsid w:val="001A3B30"/>
    <w:rsid w:val="001A3EB1"/>
    <w:rsid w:val="001A45D6"/>
    <w:rsid w:val="001A63B3"/>
    <w:rsid w:val="001B02BA"/>
    <w:rsid w:val="001B0AF6"/>
    <w:rsid w:val="001B0D9D"/>
    <w:rsid w:val="001B1C04"/>
    <w:rsid w:val="001B1E3E"/>
    <w:rsid w:val="001B3081"/>
    <w:rsid w:val="001B4361"/>
    <w:rsid w:val="001B4DE3"/>
    <w:rsid w:val="001B5A43"/>
    <w:rsid w:val="001B6E0C"/>
    <w:rsid w:val="001B7B71"/>
    <w:rsid w:val="001C0858"/>
    <w:rsid w:val="001C199B"/>
    <w:rsid w:val="001C1AB7"/>
    <w:rsid w:val="001C1BF3"/>
    <w:rsid w:val="001C371F"/>
    <w:rsid w:val="001C38AF"/>
    <w:rsid w:val="001C5502"/>
    <w:rsid w:val="001C641A"/>
    <w:rsid w:val="001C79F2"/>
    <w:rsid w:val="001C7E52"/>
    <w:rsid w:val="001D0155"/>
    <w:rsid w:val="001D1859"/>
    <w:rsid w:val="001D1F9A"/>
    <w:rsid w:val="001D20B1"/>
    <w:rsid w:val="001D2474"/>
    <w:rsid w:val="001D252C"/>
    <w:rsid w:val="001D2970"/>
    <w:rsid w:val="001D3D97"/>
    <w:rsid w:val="001D4959"/>
    <w:rsid w:val="001D5071"/>
    <w:rsid w:val="001D750C"/>
    <w:rsid w:val="001E0C02"/>
    <w:rsid w:val="001E1AE5"/>
    <w:rsid w:val="001E35BA"/>
    <w:rsid w:val="001E361C"/>
    <w:rsid w:val="001E3C56"/>
    <w:rsid w:val="001E5C7A"/>
    <w:rsid w:val="001E5EC7"/>
    <w:rsid w:val="001E72F1"/>
    <w:rsid w:val="001F4280"/>
    <w:rsid w:val="001F4C14"/>
    <w:rsid w:val="001F6BB4"/>
    <w:rsid w:val="001F721D"/>
    <w:rsid w:val="00200FF1"/>
    <w:rsid w:val="00202C17"/>
    <w:rsid w:val="002030D2"/>
    <w:rsid w:val="002031E8"/>
    <w:rsid w:val="00203D1B"/>
    <w:rsid w:val="0020436A"/>
    <w:rsid w:val="002043D1"/>
    <w:rsid w:val="00204E70"/>
    <w:rsid w:val="00205872"/>
    <w:rsid w:val="00205DEB"/>
    <w:rsid w:val="002075D0"/>
    <w:rsid w:val="00211FC5"/>
    <w:rsid w:val="002124ED"/>
    <w:rsid w:val="00214185"/>
    <w:rsid w:val="00217A65"/>
    <w:rsid w:val="00217B29"/>
    <w:rsid w:val="00220608"/>
    <w:rsid w:val="00221711"/>
    <w:rsid w:val="00221A5A"/>
    <w:rsid w:val="00221F98"/>
    <w:rsid w:val="00222A2E"/>
    <w:rsid w:val="002230F9"/>
    <w:rsid w:val="002241D3"/>
    <w:rsid w:val="0022524C"/>
    <w:rsid w:val="00225A2C"/>
    <w:rsid w:val="00226343"/>
    <w:rsid w:val="002274C9"/>
    <w:rsid w:val="00227D92"/>
    <w:rsid w:val="00230D81"/>
    <w:rsid w:val="00233A03"/>
    <w:rsid w:val="00234947"/>
    <w:rsid w:val="00235527"/>
    <w:rsid w:val="00236D85"/>
    <w:rsid w:val="002378B3"/>
    <w:rsid w:val="002409DA"/>
    <w:rsid w:val="00241801"/>
    <w:rsid w:val="00242533"/>
    <w:rsid w:val="0024281C"/>
    <w:rsid w:val="00242D33"/>
    <w:rsid w:val="00247BE8"/>
    <w:rsid w:val="0025152B"/>
    <w:rsid w:val="00252558"/>
    <w:rsid w:val="00253DF1"/>
    <w:rsid w:val="002540FF"/>
    <w:rsid w:val="002543A9"/>
    <w:rsid w:val="002544F7"/>
    <w:rsid w:val="00257DC8"/>
    <w:rsid w:val="00261A0E"/>
    <w:rsid w:val="00263D15"/>
    <w:rsid w:val="00264461"/>
    <w:rsid w:val="00265705"/>
    <w:rsid w:val="002660B2"/>
    <w:rsid w:val="00270852"/>
    <w:rsid w:val="002709A8"/>
    <w:rsid w:val="00271332"/>
    <w:rsid w:val="002726EA"/>
    <w:rsid w:val="00273438"/>
    <w:rsid w:val="0027379C"/>
    <w:rsid w:val="00274570"/>
    <w:rsid w:val="00275129"/>
    <w:rsid w:val="00275BEE"/>
    <w:rsid w:val="00276353"/>
    <w:rsid w:val="00276A78"/>
    <w:rsid w:val="00280D67"/>
    <w:rsid w:val="00280E6F"/>
    <w:rsid w:val="00281220"/>
    <w:rsid w:val="00281A59"/>
    <w:rsid w:val="00282898"/>
    <w:rsid w:val="0028315E"/>
    <w:rsid w:val="0028320D"/>
    <w:rsid w:val="00284791"/>
    <w:rsid w:val="002857DB"/>
    <w:rsid w:val="00285BEE"/>
    <w:rsid w:val="00285E60"/>
    <w:rsid w:val="00285F5A"/>
    <w:rsid w:val="00286CEF"/>
    <w:rsid w:val="002870CE"/>
    <w:rsid w:val="00287FCF"/>
    <w:rsid w:val="00292082"/>
    <w:rsid w:val="00293045"/>
    <w:rsid w:val="0029354B"/>
    <w:rsid w:val="002955AE"/>
    <w:rsid w:val="002955ED"/>
    <w:rsid w:val="002967AB"/>
    <w:rsid w:val="002974A5"/>
    <w:rsid w:val="002A028F"/>
    <w:rsid w:val="002A02AA"/>
    <w:rsid w:val="002A076F"/>
    <w:rsid w:val="002A166D"/>
    <w:rsid w:val="002A46BE"/>
    <w:rsid w:val="002A64A5"/>
    <w:rsid w:val="002B00E0"/>
    <w:rsid w:val="002B054F"/>
    <w:rsid w:val="002B14E1"/>
    <w:rsid w:val="002B244F"/>
    <w:rsid w:val="002B2F3B"/>
    <w:rsid w:val="002B3DC0"/>
    <w:rsid w:val="002B4FE7"/>
    <w:rsid w:val="002B59C0"/>
    <w:rsid w:val="002B7B59"/>
    <w:rsid w:val="002B7E99"/>
    <w:rsid w:val="002C359C"/>
    <w:rsid w:val="002C3A1D"/>
    <w:rsid w:val="002C5701"/>
    <w:rsid w:val="002C623C"/>
    <w:rsid w:val="002C6760"/>
    <w:rsid w:val="002C6D50"/>
    <w:rsid w:val="002D0D29"/>
    <w:rsid w:val="002D2AE3"/>
    <w:rsid w:val="002D2B6E"/>
    <w:rsid w:val="002D481E"/>
    <w:rsid w:val="002D5BE6"/>
    <w:rsid w:val="002D68E3"/>
    <w:rsid w:val="002D6961"/>
    <w:rsid w:val="002E0732"/>
    <w:rsid w:val="002E0A7E"/>
    <w:rsid w:val="002E0D7C"/>
    <w:rsid w:val="002E2882"/>
    <w:rsid w:val="002E3E04"/>
    <w:rsid w:val="002E4710"/>
    <w:rsid w:val="002E4BDD"/>
    <w:rsid w:val="002E7515"/>
    <w:rsid w:val="002F12DD"/>
    <w:rsid w:val="002F1F78"/>
    <w:rsid w:val="002F29BA"/>
    <w:rsid w:val="002F2D9C"/>
    <w:rsid w:val="002F493B"/>
    <w:rsid w:val="00301676"/>
    <w:rsid w:val="00302B35"/>
    <w:rsid w:val="00302B37"/>
    <w:rsid w:val="003058EB"/>
    <w:rsid w:val="00307378"/>
    <w:rsid w:val="00307676"/>
    <w:rsid w:val="003125B7"/>
    <w:rsid w:val="0031327C"/>
    <w:rsid w:val="0031334E"/>
    <w:rsid w:val="003140B8"/>
    <w:rsid w:val="00314F4C"/>
    <w:rsid w:val="00315568"/>
    <w:rsid w:val="003161FA"/>
    <w:rsid w:val="003172F7"/>
    <w:rsid w:val="003217B7"/>
    <w:rsid w:val="00322A00"/>
    <w:rsid w:val="003237BB"/>
    <w:rsid w:val="00323A9E"/>
    <w:rsid w:val="003243D1"/>
    <w:rsid w:val="0032601D"/>
    <w:rsid w:val="00327B75"/>
    <w:rsid w:val="00327EA4"/>
    <w:rsid w:val="003321D3"/>
    <w:rsid w:val="00332F55"/>
    <w:rsid w:val="00333590"/>
    <w:rsid w:val="00333689"/>
    <w:rsid w:val="00333F6E"/>
    <w:rsid w:val="00334BA3"/>
    <w:rsid w:val="00334FB8"/>
    <w:rsid w:val="00335CE0"/>
    <w:rsid w:val="0033725A"/>
    <w:rsid w:val="0034071C"/>
    <w:rsid w:val="00340AC7"/>
    <w:rsid w:val="00343143"/>
    <w:rsid w:val="00345688"/>
    <w:rsid w:val="00346143"/>
    <w:rsid w:val="003462B4"/>
    <w:rsid w:val="003473FC"/>
    <w:rsid w:val="00347C67"/>
    <w:rsid w:val="00351743"/>
    <w:rsid w:val="00352406"/>
    <w:rsid w:val="003524BC"/>
    <w:rsid w:val="0035325B"/>
    <w:rsid w:val="00353397"/>
    <w:rsid w:val="00353F85"/>
    <w:rsid w:val="00354398"/>
    <w:rsid w:val="00354B88"/>
    <w:rsid w:val="003558DC"/>
    <w:rsid w:val="00355C65"/>
    <w:rsid w:val="0035680C"/>
    <w:rsid w:val="00357014"/>
    <w:rsid w:val="00357AD6"/>
    <w:rsid w:val="0036076A"/>
    <w:rsid w:val="003611A1"/>
    <w:rsid w:val="00362986"/>
    <w:rsid w:val="003643C1"/>
    <w:rsid w:val="003654CC"/>
    <w:rsid w:val="003658CD"/>
    <w:rsid w:val="00365966"/>
    <w:rsid w:val="00365D52"/>
    <w:rsid w:val="00365E75"/>
    <w:rsid w:val="003700F7"/>
    <w:rsid w:val="00370575"/>
    <w:rsid w:val="00370757"/>
    <w:rsid w:val="0037134C"/>
    <w:rsid w:val="003714C6"/>
    <w:rsid w:val="003717B7"/>
    <w:rsid w:val="003730F9"/>
    <w:rsid w:val="003745B4"/>
    <w:rsid w:val="00376557"/>
    <w:rsid w:val="003803BC"/>
    <w:rsid w:val="0038043E"/>
    <w:rsid w:val="00380C85"/>
    <w:rsid w:val="00382E19"/>
    <w:rsid w:val="00382EB3"/>
    <w:rsid w:val="00383388"/>
    <w:rsid w:val="00383BE6"/>
    <w:rsid w:val="00384C44"/>
    <w:rsid w:val="00387C3C"/>
    <w:rsid w:val="0039060E"/>
    <w:rsid w:val="00391651"/>
    <w:rsid w:val="00392142"/>
    <w:rsid w:val="0039354E"/>
    <w:rsid w:val="00393929"/>
    <w:rsid w:val="003944E1"/>
    <w:rsid w:val="00396C61"/>
    <w:rsid w:val="0039768A"/>
    <w:rsid w:val="00397C33"/>
    <w:rsid w:val="003A1400"/>
    <w:rsid w:val="003A363A"/>
    <w:rsid w:val="003A37F4"/>
    <w:rsid w:val="003A410A"/>
    <w:rsid w:val="003A425F"/>
    <w:rsid w:val="003A4FE8"/>
    <w:rsid w:val="003B024A"/>
    <w:rsid w:val="003B159E"/>
    <w:rsid w:val="003B2C40"/>
    <w:rsid w:val="003B38BD"/>
    <w:rsid w:val="003B3D36"/>
    <w:rsid w:val="003B4426"/>
    <w:rsid w:val="003B4BE6"/>
    <w:rsid w:val="003B54F5"/>
    <w:rsid w:val="003B6C51"/>
    <w:rsid w:val="003C01A9"/>
    <w:rsid w:val="003C2239"/>
    <w:rsid w:val="003C24B9"/>
    <w:rsid w:val="003C355F"/>
    <w:rsid w:val="003C39B9"/>
    <w:rsid w:val="003C3CBE"/>
    <w:rsid w:val="003C4835"/>
    <w:rsid w:val="003C6977"/>
    <w:rsid w:val="003C760D"/>
    <w:rsid w:val="003D1E9C"/>
    <w:rsid w:val="003D1FB1"/>
    <w:rsid w:val="003D3A93"/>
    <w:rsid w:val="003D3B96"/>
    <w:rsid w:val="003D3EBB"/>
    <w:rsid w:val="003D55EA"/>
    <w:rsid w:val="003D5E2E"/>
    <w:rsid w:val="003D7DD1"/>
    <w:rsid w:val="003E0C6B"/>
    <w:rsid w:val="003E0E0E"/>
    <w:rsid w:val="003E1168"/>
    <w:rsid w:val="003E142A"/>
    <w:rsid w:val="003E1AA2"/>
    <w:rsid w:val="003E1B3B"/>
    <w:rsid w:val="003E3C57"/>
    <w:rsid w:val="003E6A29"/>
    <w:rsid w:val="003F2729"/>
    <w:rsid w:val="003F3DA9"/>
    <w:rsid w:val="003F574B"/>
    <w:rsid w:val="00400033"/>
    <w:rsid w:val="0040252D"/>
    <w:rsid w:val="00402D93"/>
    <w:rsid w:val="004033F6"/>
    <w:rsid w:val="0040350F"/>
    <w:rsid w:val="00404664"/>
    <w:rsid w:val="0040620E"/>
    <w:rsid w:val="00407197"/>
    <w:rsid w:val="00407877"/>
    <w:rsid w:val="00407F28"/>
    <w:rsid w:val="00410CF6"/>
    <w:rsid w:val="00411002"/>
    <w:rsid w:val="00412084"/>
    <w:rsid w:val="004131DD"/>
    <w:rsid w:val="00414382"/>
    <w:rsid w:val="00415B82"/>
    <w:rsid w:val="00421C55"/>
    <w:rsid w:val="00421FF2"/>
    <w:rsid w:val="00422562"/>
    <w:rsid w:val="004253BF"/>
    <w:rsid w:val="00425B5E"/>
    <w:rsid w:val="00426E64"/>
    <w:rsid w:val="00427A2B"/>
    <w:rsid w:val="00430E43"/>
    <w:rsid w:val="004316F8"/>
    <w:rsid w:val="00432E6F"/>
    <w:rsid w:val="00433951"/>
    <w:rsid w:val="004360E4"/>
    <w:rsid w:val="00441327"/>
    <w:rsid w:val="0044149D"/>
    <w:rsid w:val="004420B3"/>
    <w:rsid w:val="004420FC"/>
    <w:rsid w:val="00442169"/>
    <w:rsid w:val="004504B0"/>
    <w:rsid w:val="0045150B"/>
    <w:rsid w:val="00451AA8"/>
    <w:rsid w:val="004557B1"/>
    <w:rsid w:val="00455EE1"/>
    <w:rsid w:val="004602FC"/>
    <w:rsid w:val="00461679"/>
    <w:rsid w:val="004618DD"/>
    <w:rsid w:val="00462C0B"/>
    <w:rsid w:val="004632D1"/>
    <w:rsid w:val="00464718"/>
    <w:rsid w:val="0046472C"/>
    <w:rsid w:val="00465ABB"/>
    <w:rsid w:val="00465D90"/>
    <w:rsid w:val="00466C74"/>
    <w:rsid w:val="0046711E"/>
    <w:rsid w:val="00472D24"/>
    <w:rsid w:val="0047322F"/>
    <w:rsid w:val="00473F64"/>
    <w:rsid w:val="00473FD2"/>
    <w:rsid w:val="004742B7"/>
    <w:rsid w:val="00475A0D"/>
    <w:rsid w:val="00477672"/>
    <w:rsid w:val="00480C6B"/>
    <w:rsid w:val="0048169B"/>
    <w:rsid w:val="00482738"/>
    <w:rsid w:val="004841E5"/>
    <w:rsid w:val="00485B37"/>
    <w:rsid w:val="004877AF"/>
    <w:rsid w:val="0049048B"/>
    <w:rsid w:val="00491858"/>
    <w:rsid w:val="004926FA"/>
    <w:rsid w:val="00492C4D"/>
    <w:rsid w:val="004935EE"/>
    <w:rsid w:val="00495642"/>
    <w:rsid w:val="0049677C"/>
    <w:rsid w:val="004A4434"/>
    <w:rsid w:val="004A63EA"/>
    <w:rsid w:val="004B07EF"/>
    <w:rsid w:val="004B19DD"/>
    <w:rsid w:val="004B47DC"/>
    <w:rsid w:val="004B4D90"/>
    <w:rsid w:val="004B529E"/>
    <w:rsid w:val="004B55A2"/>
    <w:rsid w:val="004B7A8A"/>
    <w:rsid w:val="004C2176"/>
    <w:rsid w:val="004C275F"/>
    <w:rsid w:val="004C2B0B"/>
    <w:rsid w:val="004C315C"/>
    <w:rsid w:val="004C394E"/>
    <w:rsid w:val="004C3C89"/>
    <w:rsid w:val="004C3E17"/>
    <w:rsid w:val="004C5016"/>
    <w:rsid w:val="004C65E9"/>
    <w:rsid w:val="004C65ED"/>
    <w:rsid w:val="004C6DCF"/>
    <w:rsid w:val="004C6F1C"/>
    <w:rsid w:val="004C7024"/>
    <w:rsid w:val="004C712F"/>
    <w:rsid w:val="004C77D8"/>
    <w:rsid w:val="004C79CE"/>
    <w:rsid w:val="004C7CDA"/>
    <w:rsid w:val="004D085D"/>
    <w:rsid w:val="004D1185"/>
    <w:rsid w:val="004D1889"/>
    <w:rsid w:val="004D3D02"/>
    <w:rsid w:val="004D3D3B"/>
    <w:rsid w:val="004D3EEE"/>
    <w:rsid w:val="004D42AD"/>
    <w:rsid w:val="004D4405"/>
    <w:rsid w:val="004D4DB7"/>
    <w:rsid w:val="004D4EAC"/>
    <w:rsid w:val="004D5446"/>
    <w:rsid w:val="004D5B9D"/>
    <w:rsid w:val="004D6D6C"/>
    <w:rsid w:val="004D7080"/>
    <w:rsid w:val="004E1EED"/>
    <w:rsid w:val="004E3711"/>
    <w:rsid w:val="004E40A2"/>
    <w:rsid w:val="004E4F0D"/>
    <w:rsid w:val="004E5570"/>
    <w:rsid w:val="004E5BD1"/>
    <w:rsid w:val="004E620D"/>
    <w:rsid w:val="004E681B"/>
    <w:rsid w:val="004E7500"/>
    <w:rsid w:val="004E77E5"/>
    <w:rsid w:val="004F12D1"/>
    <w:rsid w:val="004F1B99"/>
    <w:rsid w:val="004F2AA7"/>
    <w:rsid w:val="004F3121"/>
    <w:rsid w:val="004F3BDF"/>
    <w:rsid w:val="004F40E1"/>
    <w:rsid w:val="004F450B"/>
    <w:rsid w:val="004F5F1C"/>
    <w:rsid w:val="004F682A"/>
    <w:rsid w:val="004F6D9B"/>
    <w:rsid w:val="005013BF"/>
    <w:rsid w:val="0050181F"/>
    <w:rsid w:val="0050209F"/>
    <w:rsid w:val="00502688"/>
    <w:rsid w:val="00503556"/>
    <w:rsid w:val="005038F3"/>
    <w:rsid w:val="005040DF"/>
    <w:rsid w:val="00504325"/>
    <w:rsid w:val="00504CAB"/>
    <w:rsid w:val="0050666E"/>
    <w:rsid w:val="00506D73"/>
    <w:rsid w:val="005128E3"/>
    <w:rsid w:val="00512905"/>
    <w:rsid w:val="005136F1"/>
    <w:rsid w:val="00514E1E"/>
    <w:rsid w:val="005155BA"/>
    <w:rsid w:val="00515BF8"/>
    <w:rsid w:val="005217AB"/>
    <w:rsid w:val="00521BFA"/>
    <w:rsid w:val="00522995"/>
    <w:rsid w:val="00522FD9"/>
    <w:rsid w:val="005234D7"/>
    <w:rsid w:val="00523971"/>
    <w:rsid w:val="00524A04"/>
    <w:rsid w:val="005250F6"/>
    <w:rsid w:val="0052549E"/>
    <w:rsid w:val="00525BB1"/>
    <w:rsid w:val="005272F6"/>
    <w:rsid w:val="0053027B"/>
    <w:rsid w:val="005309D1"/>
    <w:rsid w:val="00530E9B"/>
    <w:rsid w:val="00531F17"/>
    <w:rsid w:val="00532821"/>
    <w:rsid w:val="00532FD5"/>
    <w:rsid w:val="005333FF"/>
    <w:rsid w:val="00534B83"/>
    <w:rsid w:val="0053501D"/>
    <w:rsid w:val="00536B88"/>
    <w:rsid w:val="005374A7"/>
    <w:rsid w:val="005417FD"/>
    <w:rsid w:val="00541F57"/>
    <w:rsid w:val="00541F95"/>
    <w:rsid w:val="0054309F"/>
    <w:rsid w:val="005438FE"/>
    <w:rsid w:val="0054451A"/>
    <w:rsid w:val="005446BE"/>
    <w:rsid w:val="00544DA4"/>
    <w:rsid w:val="00544FB7"/>
    <w:rsid w:val="00546F4C"/>
    <w:rsid w:val="00547C9D"/>
    <w:rsid w:val="00550DE3"/>
    <w:rsid w:val="00550FD4"/>
    <w:rsid w:val="00551B63"/>
    <w:rsid w:val="00552063"/>
    <w:rsid w:val="0055263E"/>
    <w:rsid w:val="005529C4"/>
    <w:rsid w:val="00553158"/>
    <w:rsid w:val="00553809"/>
    <w:rsid w:val="00553A42"/>
    <w:rsid w:val="00553F8A"/>
    <w:rsid w:val="00554558"/>
    <w:rsid w:val="00555298"/>
    <w:rsid w:val="00555FBB"/>
    <w:rsid w:val="00557231"/>
    <w:rsid w:val="005604D0"/>
    <w:rsid w:val="005608DD"/>
    <w:rsid w:val="00560A55"/>
    <w:rsid w:val="00562D42"/>
    <w:rsid w:val="00562FED"/>
    <w:rsid w:val="005630B1"/>
    <w:rsid w:val="00563F84"/>
    <w:rsid w:val="00564463"/>
    <w:rsid w:val="00564D72"/>
    <w:rsid w:val="00565151"/>
    <w:rsid w:val="00565158"/>
    <w:rsid w:val="00565AF3"/>
    <w:rsid w:val="0057198A"/>
    <w:rsid w:val="00572036"/>
    <w:rsid w:val="005720FD"/>
    <w:rsid w:val="005729A9"/>
    <w:rsid w:val="00573509"/>
    <w:rsid w:val="005763F4"/>
    <w:rsid w:val="005765D6"/>
    <w:rsid w:val="005769D3"/>
    <w:rsid w:val="00576A5B"/>
    <w:rsid w:val="00577CB3"/>
    <w:rsid w:val="00577EB2"/>
    <w:rsid w:val="00583944"/>
    <w:rsid w:val="00583DF6"/>
    <w:rsid w:val="00583F72"/>
    <w:rsid w:val="00584103"/>
    <w:rsid w:val="005842D6"/>
    <w:rsid w:val="0058508B"/>
    <w:rsid w:val="00586775"/>
    <w:rsid w:val="00587A53"/>
    <w:rsid w:val="0059100D"/>
    <w:rsid w:val="00591C7C"/>
    <w:rsid w:val="00591DFD"/>
    <w:rsid w:val="00593545"/>
    <w:rsid w:val="00593DB0"/>
    <w:rsid w:val="00594674"/>
    <w:rsid w:val="005947CF"/>
    <w:rsid w:val="00595495"/>
    <w:rsid w:val="00595970"/>
    <w:rsid w:val="005A0968"/>
    <w:rsid w:val="005A24BE"/>
    <w:rsid w:val="005A2BDF"/>
    <w:rsid w:val="005A6CCC"/>
    <w:rsid w:val="005B074D"/>
    <w:rsid w:val="005B2F25"/>
    <w:rsid w:val="005B30E2"/>
    <w:rsid w:val="005B321A"/>
    <w:rsid w:val="005B418F"/>
    <w:rsid w:val="005B7F25"/>
    <w:rsid w:val="005C0D3B"/>
    <w:rsid w:val="005C15E3"/>
    <w:rsid w:val="005C2E83"/>
    <w:rsid w:val="005C4071"/>
    <w:rsid w:val="005C5FF0"/>
    <w:rsid w:val="005D1FFE"/>
    <w:rsid w:val="005D5186"/>
    <w:rsid w:val="005D69BE"/>
    <w:rsid w:val="005D7CDC"/>
    <w:rsid w:val="005E165A"/>
    <w:rsid w:val="005E2CCE"/>
    <w:rsid w:val="005E2EB7"/>
    <w:rsid w:val="005E3CD3"/>
    <w:rsid w:val="005E466E"/>
    <w:rsid w:val="005E539C"/>
    <w:rsid w:val="005E621F"/>
    <w:rsid w:val="005F0410"/>
    <w:rsid w:val="005F50CB"/>
    <w:rsid w:val="005F5600"/>
    <w:rsid w:val="005F6762"/>
    <w:rsid w:val="005F6F1F"/>
    <w:rsid w:val="005F7047"/>
    <w:rsid w:val="005F7342"/>
    <w:rsid w:val="005F7CC0"/>
    <w:rsid w:val="006006CD"/>
    <w:rsid w:val="00602AB0"/>
    <w:rsid w:val="00605313"/>
    <w:rsid w:val="00605611"/>
    <w:rsid w:val="006059FB"/>
    <w:rsid w:val="00606DC5"/>
    <w:rsid w:val="00607E1E"/>
    <w:rsid w:val="0061064A"/>
    <w:rsid w:val="00610832"/>
    <w:rsid w:val="006114A2"/>
    <w:rsid w:val="00612246"/>
    <w:rsid w:val="00613478"/>
    <w:rsid w:val="00613864"/>
    <w:rsid w:val="00613915"/>
    <w:rsid w:val="00614076"/>
    <w:rsid w:val="0061552F"/>
    <w:rsid w:val="0061742C"/>
    <w:rsid w:val="006205B3"/>
    <w:rsid w:val="0062098C"/>
    <w:rsid w:val="0062304A"/>
    <w:rsid w:val="0062390E"/>
    <w:rsid w:val="00625039"/>
    <w:rsid w:val="0062505C"/>
    <w:rsid w:val="006262FC"/>
    <w:rsid w:val="00626DD5"/>
    <w:rsid w:val="00626E3F"/>
    <w:rsid w:val="00626E43"/>
    <w:rsid w:val="00630CAC"/>
    <w:rsid w:val="006311CA"/>
    <w:rsid w:val="00631AAD"/>
    <w:rsid w:val="006321BA"/>
    <w:rsid w:val="0063373F"/>
    <w:rsid w:val="00634159"/>
    <w:rsid w:val="00635030"/>
    <w:rsid w:val="00636CFB"/>
    <w:rsid w:val="00640C77"/>
    <w:rsid w:val="006436F1"/>
    <w:rsid w:val="00643961"/>
    <w:rsid w:val="00644545"/>
    <w:rsid w:val="00645720"/>
    <w:rsid w:val="00646078"/>
    <w:rsid w:val="00652B5D"/>
    <w:rsid w:val="00653CD6"/>
    <w:rsid w:val="00654A70"/>
    <w:rsid w:val="00654B65"/>
    <w:rsid w:val="00655F8A"/>
    <w:rsid w:val="006568BF"/>
    <w:rsid w:val="00656FCD"/>
    <w:rsid w:val="00657768"/>
    <w:rsid w:val="00657CE6"/>
    <w:rsid w:val="00663AE3"/>
    <w:rsid w:val="00664290"/>
    <w:rsid w:val="00664CC1"/>
    <w:rsid w:val="00667944"/>
    <w:rsid w:val="00670017"/>
    <w:rsid w:val="006702E1"/>
    <w:rsid w:val="006706B7"/>
    <w:rsid w:val="00671E88"/>
    <w:rsid w:val="006727FE"/>
    <w:rsid w:val="00677915"/>
    <w:rsid w:val="00677BFD"/>
    <w:rsid w:val="00683214"/>
    <w:rsid w:val="00684B9D"/>
    <w:rsid w:val="00684F05"/>
    <w:rsid w:val="0068561A"/>
    <w:rsid w:val="00686063"/>
    <w:rsid w:val="006900C4"/>
    <w:rsid w:val="00690373"/>
    <w:rsid w:val="00691119"/>
    <w:rsid w:val="006919C8"/>
    <w:rsid w:val="00691A30"/>
    <w:rsid w:val="00692F80"/>
    <w:rsid w:val="00693CCE"/>
    <w:rsid w:val="00693EEA"/>
    <w:rsid w:val="0069401B"/>
    <w:rsid w:val="006979C6"/>
    <w:rsid w:val="006A0738"/>
    <w:rsid w:val="006A0A28"/>
    <w:rsid w:val="006A1D42"/>
    <w:rsid w:val="006A2011"/>
    <w:rsid w:val="006A2DFA"/>
    <w:rsid w:val="006A32BA"/>
    <w:rsid w:val="006A3488"/>
    <w:rsid w:val="006A3596"/>
    <w:rsid w:val="006A3EE3"/>
    <w:rsid w:val="006A40CD"/>
    <w:rsid w:val="006A43C3"/>
    <w:rsid w:val="006A4643"/>
    <w:rsid w:val="006A60CE"/>
    <w:rsid w:val="006B1B3D"/>
    <w:rsid w:val="006B5AD5"/>
    <w:rsid w:val="006B6D9C"/>
    <w:rsid w:val="006B7899"/>
    <w:rsid w:val="006C1FE3"/>
    <w:rsid w:val="006C2DDC"/>
    <w:rsid w:val="006C44C2"/>
    <w:rsid w:val="006C52D9"/>
    <w:rsid w:val="006C6112"/>
    <w:rsid w:val="006C63C8"/>
    <w:rsid w:val="006C701B"/>
    <w:rsid w:val="006C72F0"/>
    <w:rsid w:val="006C74DE"/>
    <w:rsid w:val="006C7A1A"/>
    <w:rsid w:val="006D1127"/>
    <w:rsid w:val="006D2C11"/>
    <w:rsid w:val="006D32C3"/>
    <w:rsid w:val="006D3C01"/>
    <w:rsid w:val="006D406D"/>
    <w:rsid w:val="006D6357"/>
    <w:rsid w:val="006D6875"/>
    <w:rsid w:val="006E13A0"/>
    <w:rsid w:val="006E2A17"/>
    <w:rsid w:val="006E2FCF"/>
    <w:rsid w:val="006E527C"/>
    <w:rsid w:val="006E55DC"/>
    <w:rsid w:val="006E6805"/>
    <w:rsid w:val="006E71B6"/>
    <w:rsid w:val="006E7B95"/>
    <w:rsid w:val="006E7C4F"/>
    <w:rsid w:val="006F416A"/>
    <w:rsid w:val="006F6D1F"/>
    <w:rsid w:val="006F72A6"/>
    <w:rsid w:val="00701EA1"/>
    <w:rsid w:val="0070213E"/>
    <w:rsid w:val="00702D4A"/>
    <w:rsid w:val="00703682"/>
    <w:rsid w:val="0070461D"/>
    <w:rsid w:val="007052C3"/>
    <w:rsid w:val="00705DC3"/>
    <w:rsid w:val="007067E8"/>
    <w:rsid w:val="007077E1"/>
    <w:rsid w:val="00707BC7"/>
    <w:rsid w:val="00707C51"/>
    <w:rsid w:val="00707E86"/>
    <w:rsid w:val="00714104"/>
    <w:rsid w:val="00714577"/>
    <w:rsid w:val="00717AB3"/>
    <w:rsid w:val="00721010"/>
    <w:rsid w:val="007211CB"/>
    <w:rsid w:val="00721FF0"/>
    <w:rsid w:val="00723750"/>
    <w:rsid w:val="007239A9"/>
    <w:rsid w:val="00724F5E"/>
    <w:rsid w:val="007253CF"/>
    <w:rsid w:val="00725746"/>
    <w:rsid w:val="007272A7"/>
    <w:rsid w:val="007340C4"/>
    <w:rsid w:val="007347F7"/>
    <w:rsid w:val="00734BA9"/>
    <w:rsid w:val="0073595B"/>
    <w:rsid w:val="007378EC"/>
    <w:rsid w:val="0074161D"/>
    <w:rsid w:val="00744ABE"/>
    <w:rsid w:val="00744F93"/>
    <w:rsid w:val="007464F3"/>
    <w:rsid w:val="0075145C"/>
    <w:rsid w:val="007533A6"/>
    <w:rsid w:val="007538B9"/>
    <w:rsid w:val="0075430C"/>
    <w:rsid w:val="007543CB"/>
    <w:rsid w:val="007551B1"/>
    <w:rsid w:val="00756D8D"/>
    <w:rsid w:val="0075762B"/>
    <w:rsid w:val="00760880"/>
    <w:rsid w:val="00760D5A"/>
    <w:rsid w:val="00761161"/>
    <w:rsid w:val="00761DE1"/>
    <w:rsid w:val="00762061"/>
    <w:rsid w:val="00762953"/>
    <w:rsid w:val="00763295"/>
    <w:rsid w:val="007632AB"/>
    <w:rsid w:val="00763599"/>
    <w:rsid w:val="00763A66"/>
    <w:rsid w:val="007652A7"/>
    <w:rsid w:val="00765847"/>
    <w:rsid w:val="0076584F"/>
    <w:rsid w:val="00765991"/>
    <w:rsid w:val="00766C82"/>
    <w:rsid w:val="0076716F"/>
    <w:rsid w:val="007676B0"/>
    <w:rsid w:val="00771CB4"/>
    <w:rsid w:val="00772437"/>
    <w:rsid w:val="007748F8"/>
    <w:rsid w:val="00775810"/>
    <w:rsid w:val="00775A82"/>
    <w:rsid w:val="00775F48"/>
    <w:rsid w:val="007776B2"/>
    <w:rsid w:val="00780DA5"/>
    <w:rsid w:val="00783B8F"/>
    <w:rsid w:val="007843DF"/>
    <w:rsid w:val="00785600"/>
    <w:rsid w:val="007875AE"/>
    <w:rsid w:val="00787A18"/>
    <w:rsid w:val="0079118C"/>
    <w:rsid w:val="007915CC"/>
    <w:rsid w:val="007918F7"/>
    <w:rsid w:val="00793D97"/>
    <w:rsid w:val="00794F7C"/>
    <w:rsid w:val="007A1785"/>
    <w:rsid w:val="007A1F4A"/>
    <w:rsid w:val="007A22AE"/>
    <w:rsid w:val="007A37DA"/>
    <w:rsid w:val="007A6372"/>
    <w:rsid w:val="007A6A38"/>
    <w:rsid w:val="007B3357"/>
    <w:rsid w:val="007B3443"/>
    <w:rsid w:val="007B4B43"/>
    <w:rsid w:val="007B577A"/>
    <w:rsid w:val="007B7DFD"/>
    <w:rsid w:val="007C16CB"/>
    <w:rsid w:val="007C1F7C"/>
    <w:rsid w:val="007C2BF3"/>
    <w:rsid w:val="007C34DD"/>
    <w:rsid w:val="007C4387"/>
    <w:rsid w:val="007C4A13"/>
    <w:rsid w:val="007C52F6"/>
    <w:rsid w:val="007C5D0E"/>
    <w:rsid w:val="007C64E3"/>
    <w:rsid w:val="007C66B5"/>
    <w:rsid w:val="007C6FED"/>
    <w:rsid w:val="007C7D42"/>
    <w:rsid w:val="007C7D4C"/>
    <w:rsid w:val="007D0893"/>
    <w:rsid w:val="007D1099"/>
    <w:rsid w:val="007D2534"/>
    <w:rsid w:val="007D4CCB"/>
    <w:rsid w:val="007D6ADC"/>
    <w:rsid w:val="007E0984"/>
    <w:rsid w:val="007E1A02"/>
    <w:rsid w:val="007E215B"/>
    <w:rsid w:val="007E351D"/>
    <w:rsid w:val="007E4393"/>
    <w:rsid w:val="007E63C0"/>
    <w:rsid w:val="007E6B4C"/>
    <w:rsid w:val="007E763E"/>
    <w:rsid w:val="007F052D"/>
    <w:rsid w:val="007F2CD0"/>
    <w:rsid w:val="007F2E91"/>
    <w:rsid w:val="007F317D"/>
    <w:rsid w:val="007F67D4"/>
    <w:rsid w:val="007F6F9C"/>
    <w:rsid w:val="007F7454"/>
    <w:rsid w:val="007F7934"/>
    <w:rsid w:val="007F7AE4"/>
    <w:rsid w:val="00801D11"/>
    <w:rsid w:val="00805149"/>
    <w:rsid w:val="00811FC4"/>
    <w:rsid w:val="00812117"/>
    <w:rsid w:val="00812165"/>
    <w:rsid w:val="008121CC"/>
    <w:rsid w:val="00812471"/>
    <w:rsid w:val="00813984"/>
    <w:rsid w:val="0081448F"/>
    <w:rsid w:val="00814518"/>
    <w:rsid w:val="00815A2B"/>
    <w:rsid w:val="00816455"/>
    <w:rsid w:val="008176EC"/>
    <w:rsid w:val="0082000F"/>
    <w:rsid w:val="008206D8"/>
    <w:rsid w:val="00820E5F"/>
    <w:rsid w:val="00821FB6"/>
    <w:rsid w:val="00822182"/>
    <w:rsid w:val="00822284"/>
    <w:rsid w:val="00822D42"/>
    <w:rsid w:val="00823C54"/>
    <w:rsid w:val="00824E9B"/>
    <w:rsid w:val="00826801"/>
    <w:rsid w:val="008300B6"/>
    <w:rsid w:val="00830209"/>
    <w:rsid w:val="00830821"/>
    <w:rsid w:val="00831E49"/>
    <w:rsid w:val="0083269E"/>
    <w:rsid w:val="008329A3"/>
    <w:rsid w:val="00834257"/>
    <w:rsid w:val="0083451E"/>
    <w:rsid w:val="008346DC"/>
    <w:rsid w:val="0083530A"/>
    <w:rsid w:val="00836F72"/>
    <w:rsid w:val="0083774F"/>
    <w:rsid w:val="00840298"/>
    <w:rsid w:val="00840537"/>
    <w:rsid w:val="00841B5C"/>
    <w:rsid w:val="008441E7"/>
    <w:rsid w:val="00844F63"/>
    <w:rsid w:val="00846B0D"/>
    <w:rsid w:val="00846BB7"/>
    <w:rsid w:val="00847B2C"/>
    <w:rsid w:val="00847DFF"/>
    <w:rsid w:val="00850694"/>
    <w:rsid w:val="00850B02"/>
    <w:rsid w:val="008515DF"/>
    <w:rsid w:val="00851BF4"/>
    <w:rsid w:val="00854AD9"/>
    <w:rsid w:val="00855EFB"/>
    <w:rsid w:val="00856179"/>
    <w:rsid w:val="008566E4"/>
    <w:rsid w:val="00856753"/>
    <w:rsid w:val="00857B91"/>
    <w:rsid w:val="00860315"/>
    <w:rsid w:val="00862C3B"/>
    <w:rsid w:val="00862DA1"/>
    <w:rsid w:val="0086332E"/>
    <w:rsid w:val="00870093"/>
    <w:rsid w:val="00870F0B"/>
    <w:rsid w:val="00872973"/>
    <w:rsid w:val="008739C3"/>
    <w:rsid w:val="008745D1"/>
    <w:rsid w:val="0087695A"/>
    <w:rsid w:val="0087754B"/>
    <w:rsid w:val="00877628"/>
    <w:rsid w:val="008809A9"/>
    <w:rsid w:val="0088151E"/>
    <w:rsid w:val="00882E97"/>
    <w:rsid w:val="0088537C"/>
    <w:rsid w:val="00886118"/>
    <w:rsid w:val="00886373"/>
    <w:rsid w:val="00886FEB"/>
    <w:rsid w:val="00890679"/>
    <w:rsid w:val="00890CC1"/>
    <w:rsid w:val="00890FD4"/>
    <w:rsid w:val="008940B3"/>
    <w:rsid w:val="00894E4F"/>
    <w:rsid w:val="0089551B"/>
    <w:rsid w:val="00895F83"/>
    <w:rsid w:val="008973FB"/>
    <w:rsid w:val="008978F2"/>
    <w:rsid w:val="008A0F8C"/>
    <w:rsid w:val="008A148F"/>
    <w:rsid w:val="008A178C"/>
    <w:rsid w:val="008A20AD"/>
    <w:rsid w:val="008A31C6"/>
    <w:rsid w:val="008A324E"/>
    <w:rsid w:val="008A45F8"/>
    <w:rsid w:val="008A61CE"/>
    <w:rsid w:val="008A7DD2"/>
    <w:rsid w:val="008B0696"/>
    <w:rsid w:val="008B096F"/>
    <w:rsid w:val="008B1934"/>
    <w:rsid w:val="008B2A47"/>
    <w:rsid w:val="008B31BE"/>
    <w:rsid w:val="008B51C0"/>
    <w:rsid w:val="008B6592"/>
    <w:rsid w:val="008B7E83"/>
    <w:rsid w:val="008C0CED"/>
    <w:rsid w:val="008C19C0"/>
    <w:rsid w:val="008C331D"/>
    <w:rsid w:val="008C3DD6"/>
    <w:rsid w:val="008C4E25"/>
    <w:rsid w:val="008D0AF6"/>
    <w:rsid w:val="008D0D98"/>
    <w:rsid w:val="008D15FA"/>
    <w:rsid w:val="008D3B8F"/>
    <w:rsid w:val="008D4888"/>
    <w:rsid w:val="008D54A6"/>
    <w:rsid w:val="008D636A"/>
    <w:rsid w:val="008D6970"/>
    <w:rsid w:val="008E32B6"/>
    <w:rsid w:val="008E43A5"/>
    <w:rsid w:val="008E4A39"/>
    <w:rsid w:val="008E505F"/>
    <w:rsid w:val="008E5836"/>
    <w:rsid w:val="008E6058"/>
    <w:rsid w:val="008E7AD5"/>
    <w:rsid w:val="008F01AD"/>
    <w:rsid w:val="008F22D5"/>
    <w:rsid w:val="008F2DE2"/>
    <w:rsid w:val="008F3DFA"/>
    <w:rsid w:val="008F57AA"/>
    <w:rsid w:val="00900BEC"/>
    <w:rsid w:val="009019C8"/>
    <w:rsid w:val="009028E2"/>
    <w:rsid w:val="0090300F"/>
    <w:rsid w:val="00903C6A"/>
    <w:rsid w:val="00904221"/>
    <w:rsid w:val="0090479C"/>
    <w:rsid w:val="00904D48"/>
    <w:rsid w:val="00905749"/>
    <w:rsid w:val="009071D1"/>
    <w:rsid w:val="00907332"/>
    <w:rsid w:val="009077E3"/>
    <w:rsid w:val="0091003B"/>
    <w:rsid w:val="0091214C"/>
    <w:rsid w:val="009132FD"/>
    <w:rsid w:val="0091348B"/>
    <w:rsid w:val="00913BF7"/>
    <w:rsid w:val="00913EFC"/>
    <w:rsid w:val="00914016"/>
    <w:rsid w:val="00914C2C"/>
    <w:rsid w:val="0092027F"/>
    <w:rsid w:val="00920CEA"/>
    <w:rsid w:val="00922943"/>
    <w:rsid w:val="00922E7E"/>
    <w:rsid w:val="00922FD6"/>
    <w:rsid w:val="00923416"/>
    <w:rsid w:val="00924F93"/>
    <w:rsid w:val="00925703"/>
    <w:rsid w:val="009301B4"/>
    <w:rsid w:val="009309A8"/>
    <w:rsid w:val="009319E3"/>
    <w:rsid w:val="00933305"/>
    <w:rsid w:val="0093381C"/>
    <w:rsid w:val="009345F9"/>
    <w:rsid w:val="0093471F"/>
    <w:rsid w:val="009347E3"/>
    <w:rsid w:val="00935A30"/>
    <w:rsid w:val="009404A6"/>
    <w:rsid w:val="00942E35"/>
    <w:rsid w:val="009435DB"/>
    <w:rsid w:val="00943884"/>
    <w:rsid w:val="00944269"/>
    <w:rsid w:val="00944752"/>
    <w:rsid w:val="00945AAE"/>
    <w:rsid w:val="00947727"/>
    <w:rsid w:val="0094790B"/>
    <w:rsid w:val="00952846"/>
    <w:rsid w:val="00954D02"/>
    <w:rsid w:val="00955663"/>
    <w:rsid w:val="00955897"/>
    <w:rsid w:val="00955D52"/>
    <w:rsid w:val="00957CA1"/>
    <w:rsid w:val="00957E75"/>
    <w:rsid w:val="00960B9B"/>
    <w:rsid w:val="009622F2"/>
    <w:rsid w:val="00962433"/>
    <w:rsid w:val="0096412E"/>
    <w:rsid w:val="00964EBF"/>
    <w:rsid w:val="0096545F"/>
    <w:rsid w:val="00965528"/>
    <w:rsid w:val="00965816"/>
    <w:rsid w:val="009665FA"/>
    <w:rsid w:val="00970F2A"/>
    <w:rsid w:val="00971D5D"/>
    <w:rsid w:val="00972ADD"/>
    <w:rsid w:val="00975998"/>
    <w:rsid w:val="0097630E"/>
    <w:rsid w:val="0097643A"/>
    <w:rsid w:val="00976CBB"/>
    <w:rsid w:val="00977FF5"/>
    <w:rsid w:val="0098098A"/>
    <w:rsid w:val="00981CC2"/>
    <w:rsid w:val="00982DB1"/>
    <w:rsid w:val="009835A7"/>
    <w:rsid w:val="009857C5"/>
    <w:rsid w:val="00985EF9"/>
    <w:rsid w:val="00986E05"/>
    <w:rsid w:val="00987902"/>
    <w:rsid w:val="00990970"/>
    <w:rsid w:val="009935B1"/>
    <w:rsid w:val="009941FC"/>
    <w:rsid w:val="0099448B"/>
    <w:rsid w:val="00995116"/>
    <w:rsid w:val="009951F0"/>
    <w:rsid w:val="00995490"/>
    <w:rsid w:val="00995941"/>
    <w:rsid w:val="00995CEE"/>
    <w:rsid w:val="00996050"/>
    <w:rsid w:val="00996662"/>
    <w:rsid w:val="009978E1"/>
    <w:rsid w:val="00997B5D"/>
    <w:rsid w:val="009A29A8"/>
    <w:rsid w:val="009A317D"/>
    <w:rsid w:val="009A3F2B"/>
    <w:rsid w:val="009A4D48"/>
    <w:rsid w:val="009A6094"/>
    <w:rsid w:val="009A75E8"/>
    <w:rsid w:val="009A79D3"/>
    <w:rsid w:val="009A7C8C"/>
    <w:rsid w:val="009A7FAD"/>
    <w:rsid w:val="009B06C4"/>
    <w:rsid w:val="009B21C0"/>
    <w:rsid w:val="009B32E7"/>
    <w:rsid w:val="009B431B"/>
    <w:rsid w:val="009B467E"/>
    <w:rsid w:val="009B4B24"/>
    <w:rsid w:val="009B551F"/>
    <w:rsid w:val="009B578B"/>
    <w:rsid w:val="009B58CA"/>
    <w:rsid w:val="009B59BB"/>
    <w:rsid w:val="009B5B4A"/>
    <w:rsid w:val="009B5F9B"/>
    <w:rsid w:val="009B71B5"/>
    <w:rsid w:val="009C0455"/>
    <w:rsid w:val="009C0A99"/>
    <w:rsid w:val="009C3E68"/>
    <w:rsid w:val="009C492C"/>
    <w:rsid w:val="009C6575"/>
    <w:rsid w:val="009C6BB0"/>
    <w:rsid w:val="009C6CD6"/>
    <w:rsid w:val="009C78D5"/>
    <w:rsid w:val="009C7B9C"/>
    <w:rsid w:val="009D153D"/>
    <w:rsid w:val="009D1DB0"/>
    <w:rsid w:val="009D2E35"/>
    <w:rsid w:val="009D39FF"/>
    <w:rsid w:val="009D561F"/>
    <w:rsid w:val="009D7035"/>
    <w:rsid w:val="009D7AD7"/>
    <w:rsid w:val="009E24E4"/>
    <w:rsid w:val="009E2F6F"/>
    <w:rsid w:val="009E3E29"/>
    <w:rsid w:val="009E3ECF"/>
    <w:rsid w:val="009E66BA"/>
    <w:rsid w:val="009E6E85"/>
    <w:rsid w:val="009E7609"/>
    <w:rsid w:val="009F077D"/>
    <w:rsid w:val="009F485B"/>
    <w:rsid w:val="009F4E45"/>
    <w:rsid w:val="009F5279"/>
    <w:rsid w:val="009F5427"/>
    <w:rsid w:val="009F6418"/>
    <w:rsid w:val="009F720D"/>
    <w:rsid w:val="00A008E1"/>
    <w:rsid w:val="00A0122C"/>
    <w:rsid w:val="00A01620"/>
    <w:rsid w:val="00A02F53"/>
    <w:rsid w:val="00A034FC"/>
    <w:rsid w:val="00A05490"/>
    <w:rsid w:val="00A05EF7"/>
    <w:rsid w:val="00A1176A"/>
    <w:rsid w:val="00A12261"/>
    <w:rsid w:val="00A124A2"/>
    <w:rsid w:val="00A1327C"/>
    <w:rsid w:val="00A163FF"/>
    <w:rsid w:val="00A16D3C"/>
    <w:rsid w:val="00A17584"/>
    <w:rsid w:val="00A17CDB"/>
    <w:rsid w:val="00A20316"/>
    <w:rsid w:val="00A20AA4"/>
    <w:rsid w:val="00A21A1B"/>
    <w:rsid w:val="00A22364"/>
    <w:rsid w:val="00A22C02"/>
    <w:rsid w:val="00A23892"/>
    <w:rsid w:val="00A25C1B"/>
    <w:rsid w:val="00A25E0E"/>
    <w:rsid w:val="00A25EC2"/>
    <w:rsid w:val="00A26799"/>
    <w:rsid w:val="00A27446"/>
    <w:rsid w:val="00A31A73"/>
    <w:rsid w:val="00A32B46"/>
    <w:rsid w:val="00A33245"/>
    <w:rsid w:val="00A333B0"/>
    <w:rsid w:val="00A33640"/>
    <w:rsid w:val="00A34267"/>
    <w:rsid w:val="00A35663"/>
    <w:rsid w:val="00A36317"/>
    <w:rsid w:val="00A36C61"/>
    <w:rsid w:val="00A3741F"/>
    <w:rsid w:val="00A40476"/>
    <w:rsid w:val="00A40B82"/>
    <w:rsid w:val="00A41996"/>
    <w:rsid w:val="00A41D50"/>
    <w:rsid w:val="00A4233F"/>
    <w:rsid w:val="00A42C3C"/>
    <w:rsid w:val="00A457E9"/>
    <w:rsid w:val="00A45E20"/>
    <w:rsid w:val="00A473D7"/>
    <w:rsid w:val="00A47B74"/>
    <w:rsid w:val="00A51197"/>
    <w:rsid w:val="00A521A5"/>
    <w:rsid w:val="00A53083"/>
    <w:rsid w:val="00A53A2B"/>
    <w:rsid w:val="00A54400"/>
    <w:rsid w:val="00A55B1F"/>
    <w:rsid w:val="00A5672B"/>
    <w:rsid w:val="00A604A4"/>
    <w:rsid w:val="00A61075"/>
    <w:rsid w:val="00A61149"/>
    <w:rsid w:val="00A61FB6"/>
    <w:rsid w:val="00A62359"/>
    <w:rsid w:val="00A623CB"/>
    <w:rsid w:val="00A65E8F"/>
    <w:rsid w:val="00A660E9"/>
    <w:rsid w:val="00A667E9"/>
    <w:rsid w:val="00A674AB"/>
    <w:rsid w:val="00A70F58"/>
    <w:rsid w:val="00A71108"/>
    <w:rsid w:val="00A715F4"/>
    <w:rsid w:val="00A73E33"/>
    <w:rsid w:val="00A73FD9"/>
    <w:rsid w:val="00A746BE"/>
    <w:rsid w:val="00A75335"/>
    <w:rsid w:val="00A75482"/>
    <w:rsid w:val="00A76E8C"/>
    <w:rsid w:val="00A804A7"/>
    <w:rsid w:val="00A80BB6"/>
    <w:rsid w:val="00A8361E"/>
    <w:rsid w:val="00A83C8C"/>
    <w:rsid w:val="00A83D8A"/>
    <w:rsid w:val="00A863FF"/>
    <w:rsid w:val="00A866AE"/>
    <w:rsid w:val="00A86D82"/>
    <w:rsid w:val="00A86FDD"/>
    <w:rsid w:val="00A90A0D"/>
    <w:rsid w:val="00A90BA3"/>
    <w:rsid w:val="00A91F2C"/>
    <w:rsid w:val="00A92F6C"/>
    <w:rsid w:val="00A947E3"/>
    <w:rsid w:val="00A96F74"/>
    <w:rsid w:val="00A972B9"/>
    <w:rsid w:val="00A97918"/>
    <w:rsid w:val="00AA091B"/>
    <w:rsid w:val="00AA0B22"/>
    <w:rsid w:val="00AA1A7C"/>
    <w:rsid w:val="00AA1E16"/>
    <w:rsid w:val="00AA2814"/>
    <w:rsid w:val="00AA3A9F"/>
    <w:rsid w:val="00AA402F"/>
    <w:rsid w:val="00AA428D"/>
    <w:rsid w:val="00AA6390"/>
    <w:rsid w:val="00AB0796"/>
    <w:rsid w:val="00AB0AD9"/>
    <w:rsid w:val="00AB11DF"/>
    <w:rsid w:val="00AB148B"/>
    <w:rsid w:val="00AB1D99"/>
    <w:rsid w:val="00AB2000"/>
    <w:rsid w:val="00AB2C86"/>
    <w:rsid w:val="00AB2EEB"/>
    <w:rsid w:val="00AB3954"/>
    <w:rsid w:val="00AB517E"/>
    <w:rsid w:val="00AB7B3D"/>
    <w:rsid w:val="00AC17F9"/>
    <w:rsid w:val="00AC1F52"/>
    <w:rsid w:val="00AC2065"/>
    <w:rsid w:val="00AC240B"/>
    <w:rsid w:val="00AC415A"/>
    <w:rsid w:val="00AC4B5E"/>
    <w:rsid w:val="00AC548C"/>
    <w:rsid w:val="00AC55AE"/>
    <w:rsid w:val="00AC75DF"/>
    <w:rsid w:val="00AD33C8"/>
    <w:rsid w:val="00AD398B"/>
    <w:rsid w:val="00AD4C8E"/>
    <w:rsid w:val="00AD5AAE"/>
    <w:rsid w:val="00AD5F78"/>
    <w:rsid w:val="00AD6EF9"/>
    <w:rsid w:val="00AD7C07"/>
    <w:rsid w:val="00AD7EFA"/>
    <w:rsid w:val="00AE05A6"/>
    <w:rsid w:val="00AE1115"/>
    <w:rsid w:val="00AE147B"/>
    <w:rsid w:val="00AE3353"/>
    <w:rsid w:val="00AE39FF"/>
    <w:rsid w:val="00AE424A"/>
    <w:rsid w:val="00AE56C6"/>
    <w:rsid w:val="00AE6A6B"/>
    <w:rsid w:val="00AE6F68"/>
    <w:rsid w:val="00AE70A6"/>
    <w:rsid w:val="00AE788C"/>
    <w:rsid w:val="00AE7DA7"/>
    <w:rsid w:val="00AF1366"/>
    <w:rsid w:val="00AF1883"/>
    <w:rsid w:val="00AF36F6"/>
    <w:rsid w:val="00AF577F"/>
    <w:rsid w:val="00AF5C1E"/>
    <w:rsid w:val="00AF7EE4"/>
    <w:rsid w:val="00B003B2"/>
    <w:rsid w:val="00B004BD"/>
    <w:rsid w:val="00B01B9A"/>
    <w:rsid w:val="00B03420"/>
    <w:rsid w:val="00B0434D"/>
    <w:rsid w:val="00B05399"/>
    <w:rsid w:val="00B057BE"/>
    <w:rsid w:val="00B05C55"/>
    <w:rsid w:val="00B060F9"/>
    <w:rsid w:val="00B06A46"/>
    <w:rsid w:val="00B100BF"/>
    <w:rsid w:val="00B11904"/>
    <w:rsid w:val="00B13096"/>
    <w:rsid w:val="00B13E15"/>
    <w:rsid w:val="00B14396"/>
    <w:rsid w:val="00B1569E"/>
    <w:rsid w:val="00B1736A"/>
    <w:rsid w:val="00B17CB9"/>
    <w:rsid w:val="00B20282"/>
    <w:rsid w:val="00B20D9A"/>
    <w:rsid w:val="00B20EE9"/>
    <w:rsid w:val="00B2298A"/>
    <w:rsid w:val="00B23507"/>
    <w:rsid w:val="00B2367A"/>
    <w:rsid w:val="00B236FD"/>
    <w:rsid w:val="00B24377"/>
    <w:rsid w:val="00B24D5C"/>
    <w:rsid w:val="00B24F06"/>
    <w:rsid w:val="00B25537"/>
    <w:rsid w:val="00B25992"/>
    <w:rsid w:val="00B2659D"/>
    <w:rsid w:val="00B27141"/>
    <w:rsid w:val="00B277E5"/>
    <w:rsid w:val="00B27FFC"/>
    <w:rsid w:val="00B307ED"/>
    <w:rsid w:val="00B30F64"/>
    <w:rsid w:val="00B31B0E"/>
    <w:rsid w:val="00B333D4"/>
    <w:rsid w:val="00B33461"/>
    <w:rsid w:val="00B347DE"/>
    <w:rsid w:val="00B35936"/>
    <w:rsid w:val="00B371F9"/>
    <w:rsid w:val="00B37E7F"/>
    <w:rsid w:val="00B40C59"/>
    <w:rsid w:val="00B41FCE"/>
    <w:rsid w:val="00B44398"/>
    <w:rsid w:val="00B446E7"/>
    <w:rsid w:val="00B44F50"/>
    <w:rsid w:val="00B45621"/>
    <w:rsid w:val="00B477D2"/>
    <w:rsid w:val="00B47F05"/>
    <w:rsid w:val="00B5055C"/>
    <w:rsid w:val="00B50FFA"/>
    <w:rsid w:val="00B52479"/>
    <w:rsid w:val="00B528D9"/>
    <w:rsid w:val="00B5300D"/>
    <w:rsid w:val="00B531CE"/>
    <w:rsid w:val="00B54637"/>
    <w:rsid w:val="00B6005B"/>
    <w:rsid w:val="00B60BA9"/>
    <w:rsid w:val="00B6132E"/>
    <w:rsid w:val="00B6207A"/>
    <w:rsid w:val="00B62E59"/>
    <w:rsid w:val="00B64A6D"/>
    <w:rsid w:val="00B676DF"/>
    <w:rsid w:val="00B7097E"/>
    <w:rsid w:val="00B73AFF"/>
    <w:rsid w:val="00B74D75"/>
    <w:rsid w:val="00B75D6F"/>
    <w:rsid w:val="00B76876"/>
    <w:rsid w:val="00B76D04"/>
    <w:rsid w:val="00B7712A"/>
    <w:rsid w:val="00B776ED"/>
    <w:rsid w:val="00B822D3"/>
    <w:rsid w:val="00B82EBC"/>
    <w:rsid w:val="00B830E1"/>
    <w:rsid w:val="00B84AEB"/>
    <w:rsid w:val="00B86D76"/>
    <w:rsid w:val="00B878D6"/>
    <w:rsid w:val="00B90355"/>
    <w:rsid w:val="00B90BCD"/>
    <w:rsid w:val="00B91A60"/>
    <w:rsid w:val="00B91AAF"/>
    <w:rsid w:val="00B91D15"/>
    <w:rsid w:val="00B93C3B"/>
    <w:rsid w:val="00B95289"/>
    <w:rsid w:val="00B95472"/>
    <w:rsid w:val="00B9609A"/>
    <w:rsid w:val="00B96A3C"/>
    <w:rsid w:val="00B974FF"/>
    <w:rsid w:val="00BA0102"/>
    <w:rsid w:val="00BA0386"/>
    <w:rsid w:val="00BA250C"/>
    <w:rsid w:val="00BA3568"/>
    <w:rsid w:val="00BA53DE"/>
    <w:rsid w:val="00BA5917"/>
    <w:rsid w:val="00BA6908"/>
    <w:rsid w:val="00BA7339"/>
    <w:rsid w:val="00BA74AD"/>
    <w:rsid w:val="00BB0D25"/>
    <w:rsid w:val="00BB1FA6"/>
    <w:rsid w:val="00BB3828"/>
    <w:rsid w:val="00BB47C6"/>
    <w:rsid w:val="00BB5DAA"/>
    <w:rsid w:val="00BB67F0"/>
    <w:rsid w:val="00BB68F4"/>
    <w:rsid w:val="00BC35FD"/>
    <w:rsid w:val="00BC554A"/>
    <w:rsid w:val="00BC7691"/>
    <w:rsid w:val="00BD03D6"/>
    <w:rsid w:val="00BD1FCB"/>
    <w:rsid w:val="00BD5183"/>
    <w:rsid w:val="00BD58F8"/>
    <w:rsid w:val="00BD71DF"/>
    <w:rsid w:val="00BD749A"/>
    <w:rsid w:val="00BD7E8E"/>
    <w:rsid w:val="00BE271C"/>
    <w:rsid w:val="00BE5009"/>
    <w:rsid w:val="00BE67A4"/>
    <w:rsid w:val="00BE6C2B"/>
    <w:rsid w:val="00BE746B"/>
    <w:rsid w:val="00BE7996"/>
    <w:rsid w:val="00BF00E5"/>
    <w:rsid w:val="00BF1475"/>
    <w:rsid w:val="00BF14F7"/>
    <w:rsid w:val="00BF22D7"/>
    <w:rsid w:val="00BF23BC"/>
    <w:rsid w:val="00BF2D9D"/>
    <w:rsid w:val="00BF3B8B"/>
    <w:rsid w:val="00BF4A69"/>
    <w:rsid w:val="00BF4BFD"/>
    <w:rsid w:val="00BF7669"/>
    <w:rsid w:val="00C001A2"/>
    <w:rsid w:val="00C00C24"/>
    <w:rsid w:val="00C01A94"/>
    <w:rsid w:val="00C01FAA"/>
    <w:rsid w:val="00C023E4"/>
    <w:rsid w:val="00C027D6"/>
    <w:rsid w:val="00C03D8D"/>
    <w:rsid w:val="00C04228"/>
    <w:rsid w:val="00C049D4"/>
    <w:rsid w:val="00C06519"/>
    <w:rsid w:val="00C120CD"/>
    <w:rsid w:val="00C14324"/>
    <w:rsid w:val="00C1504C"/>
    <w:rsid w:val="00C16438"/>
    <w:rsid w:val="00C214DA"/>
    <w:rsid w:val="00C23158"/>
    <w:rsid w:val="00C23AD7"/>
    <w:rsid w:val="00C251D7"/>
    <w:rsid w:val="00C262D9"/>
    <w:rsid w:val="00C26F1E"/>
    <w:rsid w:val="00C27FF6"/>
    <w:rsid w:val="00C3148B"/>
    <w:rsid w:val="00C32269"/>
    <w:rsid w:val="00C32C10"/>
    <w:rsid w:val="00C346A8"/>
    <w:rsid w:val="00C35431"/>
    <w:rsid w:val="00C36596"/>
    <w:rsid w:val="00C36AA5"/>
    <w:rsid w:val="00C37533"/>
    <w:rsid w:val="00C40754"/>
    <w:rsid w:val="00C409EC"/>
    <w:rsid w:val="00C40B3D"/>
    <w:rsid w:val="00C40F1E"/>
    <w:rsid w:val="00C40FEE"/>
    <w:rsid w:val="00C412D9"/>
    <w:rsid w:val="00C41623"/>
    <w:rsid w:val="00C41CC4"/>
    <w:rsid w:val="00C421D1"/>
    <w:rsid w:val="00C4296C"/>
    <w:rsid w:val="00C42BC0"/>
    <w:rsid w:val="00C42D89"/>
    <w:rsid w:val="00C43AA2"/>
    <w:rsid w:val="00C43BD6"/>
    <w:rsid w:val="00C43DDA"/>
    <w:rsid w:val="00C440F4"/>
    <w:rsid w:val="00C45B7C"/>
    <w:rsid w:val="00C46094"/>
    <w:rsid w:val="00C464DF"/>
    <w:rsid w:val="00C47069"/>
    <w:rsid w:val="00C47946"/>
    <w:rsid w:val="00C47F63"/>
    <w:rsid w:val="00C50FB2"/>
    <w:rsid w:val="00C512D6"/>
    <w:rsid w:val="00C54A01"/>
    <w:rsid w:val="00C54F44"/>
    <w:rsid w:val="00C551FD"/>
    <w:rsid w:val="00C56E7A"/>
    <w:rsid w:val="00C605BF"/>
    <w:rsid w:val="00C60EA5"/>
    <w:rsid w:val="00C61941"/>
    <w:rsid w:val="00C62D22"/>
    <w:rsid w:val="00C639DD"/>
    <w:rsid w:val="00C63ABE"/>
    <w:rsid w:val="00C63CA9"/>
    <w:rsid w:val="00C63F6D"/>
    <w:rsid w:val="00C649F0"/>
    <w:rsid w:val="00C64D4A"/>
    <w:rsid w:val="00C67170"/>
    <w:rsid w:val="00C712F3"/>
    <w:rsid w:val="00C72B6E"/>
    <w:rsid w:val="00C72E14"/>
    <w:rsid w:val="00C74898"/>
    <w:rsid w:val="00C74C64"/>
    <w:rsid w:val="00C75B80"/>
    <w:rsid w:val="00C763A1"/>
    <w:rsid w:val="00C7671A"/>
    <w:rsid w:val="00C76C35"/>
    <w:rsid w:val="00C774CF"/>
    <w:rsid w:val="00C779DC"/>
    <w:rsid w:val="00C80266"/>
    <w:rsid w:val="00C80D8F"/>
    <w:rsid w:val="00C81F3E"/>
    <w:rsid w:val="00C84099"/>
    <w:rsid w:val="00C852DF"/>
    <w:rsid w:val="00C863DF"/>
    <w:rsid w:val="00C8766F"/>
    <w:rsid w:val="00C87FB1"/>
    <w:rsid w:val="00C91195"/>
    <w:rsid w:val="00C91FC8"/>
    <w:rsid w:val="00C9393A"/>
    <w:rsid w:val="00C93C79"/>
    <w:rsid w:val="00C94944"/>
    <w:rsid w:val="00C95042"/>
    <w:rsid w:val="00C95E72"/>
    <w:rsid w:val="00C967E8"/>
    <w:rsid w:val="00CA00B7"/>
    <w:rsid w:val="00CA01F6"/>
    <w:rsid w:val="00CA15C6"/>
    <w:rsid w:val="00CA267C"/>
    <w:rsid w:val="00CA304A"/>
    <w:rsid w:val="00CA45F8"/>
    <w:rsid w:val="00CB0722"/>
    <w:rsid w:val="00CB3180"/>
    <w:rsid w:val="00CB3335"/>
    <w:rsid w:val="00CB5C4E"/>
    <w:rsid w:val="00CC05B7"/>
    <w:rsid w:val="00CC0F14"/>
    <w:rsid w:val="00CC131A"/>
    <w:rsid w:val="00CC1D83"/>
    <w:rsid w:val="00CC1E34"/>
    <w:rsid w:val="00CC2661"/>
    <w:rsid w:val="00CC302A"/>
    <w:rsid w:val="00CC4D88"/>
    <w:rsid w:val="00CC5566"/>
    <w:rsid w:val="00CC5688"/>
    <w:rsid w:val="00CC749F"/>
    <w:rsid w:val="00CD15F6"/>
    <w:rsid w:val="00CD1E04"/>
    <w:rsid w:val="00CD23E3"/>
    <w:rsid w:val="00CD31F0"/>
    <w:rsid w:val="00CD38BC"/>
    <w:rsid w:val="00CD3CC2"/>
    <w:rsid w:val="00CD47FE"/>
    <w:rsid w:val="00CD4F95"/>
    <w:rsid w:val="00CD53D1"/>
    <w:rsid w:val="00CD6470"/>
    <w:rsid w:val="00CD6A81"/>
    <w:rsid w:val="00CD6D9F"/>
    <w:rsid w:val="00CD6F48"/>
    <w:rsid w:val="00CD6F7E"/>
    <w:rsid w:val="00CD7E71"/>
    <w:rsid w:val="00CE046B"/>
    <w:rsid w:val="00CE061B"/>
    <w:rsid w:val="00CE1EF0"/>
    <w:rsid w:val="00CE30AE"/>
    <w:rsid w:val="00CE4847"/>
    <w:rsid w:val="00CE49FB"/>
    <w:rsid w:val="00CE4C44"/>
    <w:rsid w:val="00CE63E4"/>
    <w:rsid w:val="00CE671D"/>
    <w:rsid w:val="00CE6806"/>
    <w:rsid w:val="00CE70C6"/>
    <w:rsid w:val="00CE777A"/>
    <w:rsid w:val="00CF034A"/>
    <w:rsid w:val="00CF0A44"/>
    <w:rsid w:val="00CF1B68"/>
    <w:rsid w:val="00CF5826"/>
    <w:rsid w:val="00CF5F61"/>
    <w:rsid w:val="00CF6C63"/>
    <w:rsid w:val="00CF72F8"/>
    <w:rsid w:val="00D000A0"/>
    <w:rsid w:val="00D01B25"/>
    <w:rsid w:val="00D022B2"/>
    <w:rsid w:val="00D02C28"/>
    <w:rsid w:val="00D03E52"/>
    <w:rsid w:val="00D042EA"/>
    <w:rsid w:val="00D04BB0"/>
    <w:rsid w:val="00D05FC5"/>
    <w:rsid w:val="00D06B2D"/>
    <w:rsid w:val="00D102E2"/>
    <w:rsid w:val="00D105F8"/>
    <w:rsid w:val="00D11BB8"/>
    <w:rsid w:val="00D11C87"/>
    <w:rsid w:val="00D11DF0"/>
    <w:rsid w:val="00D14CBE"/>
    <w:rsid w:val="00D15DE1"/>
    <w:rsid w:val="00D17F34"/>
    <w:rsid w:val="00D22CB0"/>
    <w:rsid w:val="00D238A8"/>
    <w:rsid w:val="00D23B0E"/>
    <w:rsid w:val="00D241E0"/>
    <w:rsid w:val="00D24322"/>
    <w:rsid w:val="00D24D90"/>
    <w:rsid w:val="00D25188"/>
    <w:rsid w:val="00D2654C"/>
    <w:rsid w:val="00D27B55"/>
    <w:rsid w:val="00D3080D"/>
    <w:rsid w:val="00D31548"/>
    <w:rsid w:val="00D342D4"/>
    <w:rsid w:val="00D34A4E"/>
    <w:rsid w:val="00D34E37"/>
    <w:rsid w:val="00D354B5"/>
    <w:rsid w:val="00D35767"/>
    <w:rsid w:val="00D36668"/>
    <w:rsid w:val="00D37AE1"/>
    <w:rsid w:val="00D4791B"/>
    <w:rsid w:val="00D47A62"/>
    <w:rsid w:val="00D51035"/>
    <w:rsid w:val="00D51D81"/>
    <w:rsid w:val="00D520A7"/>
    <w:rsid w:val="00D531D3"/>
    <w:rsid w:val="00D539FE"/>
    <w:rsid w:val="00D53C0E"/>
    <w:rsid w:val="00D5455E"/>
    <w:rsid w:val="00D54813"/>
    <w:rsid w:val="00D60084"/>
    <w:rsid w:val="00D60CB8"/>
    <w:rsid w:val="00D665F2"/>
    <w:rsid w:val="00D6673B"/>
    <w:rsid w:val="00D66E23"/>
    <w:rsid w:val="00D71406"/>
    <w:rsid w:val="00D71526"/>
    <w:rsid w:val="00D72986"/>
    <w:rsid w:val="00D732B3"/>
    <w:rsid w:val="00D74A65"/>
    <w:rsid w:val="00D76684"/>
    <w:rsid w:val="00D808F7"/>
    <w:rsid w:val="00D816FE"/>
    <w:rsid w:val="00D843EA"/>
    <w:rsid w:val="00D84921"/>
    <w:rsid w:val="00D84D8F"/>
    <w:rsid w:val="00D85732"/>
    <w:rsid w:val="00D8608D"/>
    <w:rsid w:val="00D8652B"/>
    <w:rsid w:val="00D86FF7"/>
    <w:rsid w:val="00D907FD"/>
    <w:rsid w:val="00D90BF7"/>
    <w:rsid w:val="00D92EF6"/>
    <w:rsid w:val="00D9345E"/>
    <w:rsid w:val="00D93717"/>
    <w:rsid w:val="00D93A4A"/>
    <w:rsid w:val="00D94366"/>
    <w:rsid w:val="00D9553C"/>
    <w:rsid w:val="00D9631D"/>
    <w:rsid w:val="00D97302"/>
    <w:rsid w:val="00DA1C1F"/>
    <w:rsid w:val="00DA435E"/>
    <w:rsid w:val="00DA43DF"/>
    <w:rsid w:val="00DA4C5B"/>
    <w:rsid w:val="00DA59AE"/>
    <w:rsid w:val="00DA652D"/>
    <w:rsid w:val="00DB2199"/>
    <w:rsid w:val="00DB255C"/>
    <w:rsid w:val="00DB456B"/>
    <w:rsid w:val="00DB4F29"/>
    <w:rsid w:val="00DB5C39"/>
    <w:rsid w:val="00DB6913"/>
    <w:rsid w:val="00DB74B0"/>
    <w:rsid w:val="00DC08A5"/>
    <w:rsid w:val="00DC27ED"/>
    <w:rsid w:val="00DC2F42"/>
    <w:rsid w:val="00DC6014"/>
    <w:rsid w:val="00DC7DFA"/>
    <w:rsid w:val="00DC7F82"/>
    <w:rsid w:val="00DD1795"/>
    <w:rsid w:val="00DD2CF7"/>
    <w:rsid w:val="00DD38DB"/>
    <w:rsid w:val="00DE3C01"/>
    <w:rsid w:val="00DE4630"/>
    <w:rsid w:val="00DE635F"/>
    <w:rsid w:val="00DF1C5B"/>
    <w:rsid w:val="00DF5429"/>
    <w:rsid w:val="00DF5EE3"/>
    <w:rsid w:val="00DF6454"/>
    <w:rsid w:val="00DF7C5A"/>
    <w:rsid w:val="00E0104A"/>
    <w:rsid w:val="00E0368B"/>
    <w:rsid w:val="00E043A0"/>
    <w:rsid w:val="00E045E6"/>
    <w:rsid w:val="00E04C16"/>
    <w:rsid w:val="00E05CBE"/>
    <w:rsid w:val="00E06258"/>
    <w:rsid w:val="00E10EDA"/>
    <w:rsid w:val="00E11A32"/>
    <w:rsid w:val="00E11D69"/>
    <w:rsid w:val="00E12EC6"/>
    <w:rsid w:val="00E14642"/>
    <w:rsid w:val="00E14F22"/>
    <w:rsid w:val="00E15813"/>
    <w:rsid w:val="00E16B36"/>
    <w:rsid w:val="00E2121C"/>
    <w:rsid w:val="00E21268"/>
    <w:rsid w:val="00E23A46"/>
    <w:rsid w:val="00E24F30"/>
    <w:rsid w:val="00E254E9"/>
    <w:rsid w:val="00E25717"/>
    <w:rsid w:val="00E25FE3"/>
    <w:rsid w:val="00E26784"/>
    <w:rsid w:val="00E26DC3"/>
    <w:rsid w:val="00E2737F"/>
    <w:rsid w:val="00E30E75"/>
    <w:rsid w:val="00E31087"/>
    <w:rsid w:val="00E312AB"/>
    <w:rsid w:val="00E31A32"/>
    <w:rsid w:val="00E327D3"/>
    <w:rsid w:val="00E342AF"/>
    <w:rsid w:val="00E359B5"/>
    <w:rsid w:val="00E40426"/>
    <w:rsid w:val="00E4308E"/>
    <w:rsid w:val="00E439CF"/>
    <w:rsid w:val="00E45E8B"/>
    <w:rsid w:val="00E467E8"/>
    <w:rsid w:val="00E50605"/>
    <w:rsid w:val="00E50B4C"/>
    <w:rsid w:val="00E513C0"/>
    <w:rsid w:val="00E55D59"/>
    <w:rsid w:val="00E55DFC"/>
    <w:rsid w:val="00E57246"/>
    <w:rsid w:val="00E579D2"/>
    <w:rsid w:val="00E57A1E"/>
    <w:rsid w:val="00E60CB4"/>
    <w:rsid w:val="00E61C72"/>
    <w:rsid w:val="00E61F58"/>
    <w:rsid w:val="00E62491"/>
    <w:rsid w:val="00E627F3"/>
    <w:rsid w:val="00E62EB8"/>
    <w:rsid w:val="00E63E6F"/>
    <w:rsid w:val="00E64737"/>
    <w:rsid w:val="00E67DC3"/>
    <w:rsid w:val="00E709BE"/>
    <w:rsid w:val="00E72972"/>
    <w:rsid w:val="00E7303B"/>
    <w:rsid w:val="00E75668"/>
    <w:rsid w:val="00E7588A"/>
    <w:rsid w:val="00E76C49"/>
    <w:rsid w:val="00E76C9C"/>
    <w:rsid w:val="00E823ED"/>
    <w:rsid w:val="00E834CD"/>
    <w:rsid w:val="00E84A17"/>
    <w:rsid w:val="00E85358"/>
    <w:rsid w:val="00E8661F"/>
    <w:rsid w:val="00E86A30"/>
    <w:rsid w:val="00E9071B"/>
    <w:rsid w:val="00E920ED"/>
    <w:rsid w:val="00E92EE2"/>
    <w:rsid w:val="00E9356C"/>
    <w:rsid w:val="00E936CB"/>
    <w:rsid w:val="00E9424C"/>
    <w:rsid w:val="00E96CE2"/>
    <w:rsid w:val="00EA0AFA"/>
    <w:rsid w:val="00EA0CEB"/>
    <w:rsid w:val="00EA1DF4"/>
    <w:rsid w:val="00EA256C"/>
    <w:rsid w:val="00EA3D90"/>
    <w:rsid w:val="00EA537F"/>
    <w:rsid w:val="00EA73B4"/>
    <w:rsid w:val="00EA775A"/>
    <w:rsid w:val="00EA7A45"/>
    <w:rsid w:val="00EB0224"/>
    <w:rsid w:val="00EB1533"/>
    <w:rsid w:val="00EB1A0D"/>
    <w:rsid w:val="00EB2ADB"/>
    <w:rsid w:val="00EB2EB2"/>
    <w:rsid w:val="00EB513E"/>
    <w:rsid w:val="00EB5178"/>
    <w:rsid w:val="00EC1067"/>
    <w:rsid w:val="00EC1130"/>
    <w:rsid w:val="00EC25C3"/>
    <w:rsid w:val="00EC3933"/>
    <w:rsid w:val="00EC4462"/>
    <w:rsid w:val="00EC4C10"/>
    <w:rsid w:val="00EC4D88"/>
    <w:rsid w:val="00EC5D16"/>
    <w:rsid w:val="00EC6972"/>
    <w:rsid w:val="00EC7019"/>
    <w:rsid w:val="00ED0DA6"/>
    <w:rsid w:val="00ED198E"/>
    <w:rsid w:val="00ED1DDB"/>
    <w:rsid w:val="00ED25E7"/>
    <w:rsid w:val="00ED3258"/>
    <w:rsid w:val="00ED3E12"/>
    <w:rsid w:val="00ED3E13"/>
    <w:rsid w:val="00ED6F65"/>
    <w:rsid w:val="00ED735A"/>
    <w:rsid w:val="00EE0242"/>
    <w:rsid w:val="00EE0583"/>
    <w:rsid w:val="00EE1DC7"/>
    <w:rsid w:val="00EE588C"/>
    <w:rsid w:val="00EE665C"/>
    <w:rsid w:val="00EE6783"/>
    <w:rsid w:val="00EE702A"/>
    <w:rsid w:val="00EF10A8"/>
    <w:rsid w:val="00EF29DA"/>
    <w:rsid w:val="00EF2F61"/>
    <w:rsid w:val="00EF310D"/>
    <w:rsid w:val="00EF4138"/>
    <w:rsid w:val="00EF4397"/>
    <w:rsid w:val="00EF4E4C"/>
    <w:rsid w:val="00EF5B79"/>
    <w:rsid w:val="00EF6008"/>
    <w:rsid w:val="00EF63DB"/>
    <w:rsid w:val="00EF670F"/>
    <w:rsid w:val="00EF6895"/>
    <w:rsid w:val="00EF7731"/>
    <w:rsid w:val="00EF7821"/>
    <w:rsid w:val="00F01F62"/>
    <w:rsid w:val="00F0415C"/>
    <w:rsid w:val="00F043D6"/>
    <w:rsid w:val="00F07D56"/>
    <w:rsid w:val="00F11F02"/>
    <w:rsid w:val="00F1359E"/>
    <w:rsid w:val="00F136CE"/>
    <w:rsid w:val="00F1453B"/>
    <w:rsid w:val="00F14671"/>
    <w:rsid w:val="00F14D06"/>
    <w:rsid w:val="00F14E2B"/>
    <w:rsid w:val="00F15035"/>
    <w:rsid w:val="00F16CB9"/>
    <w:rsid w:val="00F171E0"/>
    <w:rsid w:val="00F172E0"/>
    <w:rsid w:val="00F20768"/>
    <w:rsid w:val="00F223E5"/>
    <w:rsid w:val="00F231CC"/>
    <w:rsid w:val="00F243A9"/>
    <w:rsid w:val="00F27160"/>
    <w:rsid w:val="00F27B3C"/>
    <w:rsid w:val="00F310DF"/>
    <w:rsid w:val="00F3171F"/>
    <w:rsid w:val="00F327D6"/>
    <w:rsid w:val="00F34604"/>
    <w:rsid w:val="00F367B1"/>
    <w:rsid w:val="00F3735E"/>
    <w:rsid w:val="00F400D0"/>
    <w:rsid w:val="00F40E48"/>
    <w:rsid w:val="00F40F73"/>
    <w:rsid w:val="00F41D70"/>
    <w:rsid w:val="00F42C3C"/>
    <w:rsid w:val="00F46230"/>
    <w:rsid w:val="00F46A22"/>
    <w:rsid w:val="00F46A7B"/>
    <w:rsid w:val="00F50A9A"/>
    <w:rsid w:val="00F525F6"/>
    <w:rsid w:val="00F52CB2"/>
    <w:rsid w:val="00F54519"/>
    <w:rsid w:val="00F546FF"/>
    <w:rsid w:val="00F54CDE"/>
    <w:rsid w:val="00F564C6"/>
    <w:rsid w:val="00F60218"/>
    <w:rsid w:val="00F60261"/>
    <w:rsid w:val="00F63455"/>
    <w:rsid w:val="00F636AB"/>
    <w:rsid w:val="00F6775C"/>
    <w:rsid w:val="00F7022B"/>
    <w:rsid w:val="00F70B35"/>
    <w:rsid w:val="00F70B41"/>
    <w:rsid w:val="00F74BC4"/>
    <w:rsid w:val="00F754BF"/>
    <w:rsid w:val="00F7585B"/>
    <w:rsid w:val="00F774AA"/>
    <w:rsid w:val="00F80306"/>
    <w:rsid w:val="00F806D1"/>
    <w:rsid w:val="00F80BC4"/>
    <w:rsid w:val="00F810F6"/>
    <w:rsid w:val="00F81312"/>
    <w:rsid w:val="00F81AF0"/>
    <w:rsid w:val="00F84255"/>
    <w:rsid w:val="00F84567"/>
    <w:rsid w:val="00F86032"/>
    <w:rsid w:val="00F86AA9"/>
    <w:rsid w:val="00F86D2D"/>
    <w:rsid w:val="00F87747"/>
    <w:rsid w:val="00F90874"/>
    <w:rsid w:val="00F90BC7"/>
    <w:rsid w:val="00F91EAD"/>
    <w:rsid w:val="00F926AD"/>
    <w:rsid w:val="00F92C9D"/>
    <w:rsid w:val="00F935F4"/>
    <w:rsid w:val="00F93D17"/>
    <w:rsid w:val="00F944A2"/>
    <w:rsid w:val="00F95CD6"/>
    <w:rsid w:val="00F9780B"/>
    <w:rsid w:val="00FA1393"/>
    <w:rsid w:val="00FA3E91"/>
    <w:rsid w:val="00FA4564"/>
    <w:rsid w:val="00FA45C6"/>
    <w:rsid w:val="00FA4973"/>
    <w:rsid w:val="00FA4F3B"/>
    <w:rsid w:val="00FA5961"/>
    <w:rsid w:val="00FA68FA"/>
    <w:rsid w:val="00FA70AE"/>
    <w:rsid w:val="00FA7ECA"/>
    <w:rsid w:val="00FB1470"/>
    <w:rsid w:val="00FB25DC"/>
    <w:rsid w:val="00FB2AFD"/>
    <w:rsid w:val="00FB2DF5"/>
    <w:rsid w:val="00FB2F01"/>
    <w:rsid w:val="00FB38A6"/>
    <w:rsid w:val="00FB4681"/>
    <w:rsid w:val="00FB4763"/>
    <w:rsid w:val="00FB59C1"/>
    <w:rsid w:val="00FB6619"/>
    <w:rsid w:val="00FB722B"/>
    <w:rsid w:val="00FB7906"/>
    <w:rsid w:val="00FB7ED2"/>
    <w:rsid w:val="00FC01CB"/>
    <w:rsid w:val="00FC04B4"/>
    <w:rsid w:val="00FC0BF2"/>
    <w:rsid w:val="00FC12AF"/>
    <w:rsid w:val="00FC1AEC"/>
    <w:rsid w:val="00FC20D1"/>
    <w:rsid w:val="00FC363D"/>
    <w:rsid w:val="00FC5CF3"/>
    <w:rsid w:val="00FC63D6"/>
    <w:rsid w:val="00FC6AE7"/>
    <w:rsid w:val="00FC7273"/>
    <w:rsid w:val="00FD13EA"/>
    <w:rsid w:val="00FD3032"/>
    <w:rsid w:val="00FD464C"/>
    <w:rsid w:val="00FD67BA"/>
    <w:rsid w:val="00FD7192"/>
    <w:rsid w:val="00FD71B7"/>
    <w:rsid w:val="00FD7813"/>
    <w:rsid w:val="00FD7CFB"/>
    <w:rsid w:val="00FE04DD"/>
    <w:rsid w:val="00FE0FD4"/>
    <w:rsid w:val="00FE1796"/>
    <w:rsid w:val="00FE4785"/>
    <w:rsid w:val="00FE48A4"/>
    <w:rsid w:val="00FE5392"/>
    <w:rsid w:val="00FE6735"/>
    <w:rsid w:val="00FF13E2"/>
    <w:rsid w:val="00FF28FC"/>
    <w:rsid w:val="00FF4786"/>
    <w:rsid w:val="00FF5090"/>
    <w:rsid w:val="00FF555A"/>
    <w:rsid w:val="00FF66A3"/>
    <w:rsid w:val="00FF69F3"/>
    <w:rsid w:val="00FF6C05"/>
    <w:rsid w:val="00FF7F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36F0F"/>
  <w15:docId w15:val="{E609CE85-75CC-43BA-BD86-E07ACBE5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039"/>
  </w:style>
  <w:style w:type="paragraph" w:styleId="Heading1">
    <w:name w:val="heading 1"/>
    <w:basedOn w:val="ListParagraph"/>
    <w:next w:val="Normal"/>
    <w:link w:val="Heading1Char"/>
    <w:uiPriority w:val="9"/>
    <w:qFormat/>
    <w:rsid w:val="00217B29"/>
    <w:pPr>
      <w:numPr>
        <w:numId w:val="29"/>
      </w:numPr>
      <w:spacing w:line="360" w:lineRule="auto"/>
      <w:jc w:val="both"/>
      <w:outlineLvl w:val="0"/>
    </w:pPr>
    <w:rPr>
      <w:rFonts w:ascii="Times New Roman" w:hAnsi="Times New Roman" w:cs="Times New Roman"/>
      <w:b/>
      <w:bCs/>
      <w:sz w:val="24"/>
      <w:szCs w:val="24"/>
    </w:rPr>
  </w:style>
  <w:style w:type="paragraph" w:styleId="Heading2">
    <w:name w:val="heading 2"/>
    <w:basedOn w:val="Normal"/>
    <w:link w:val="Heading2Char"/>
    <w:uiPriority w:val="9"/>
    <w:qFormat/>
    <w:rsid w:val="00E55D59"/>
    <w:pPr>
      <w:numPr>
        <w:ilvl w:val="1"/>
        <w:numId w:val="29"/>
      </w:num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3">
    <w:name w:val="heading 3"/>
    <w:basedOn w:val="Normal"/>
    <w:next w:val="Normal"/>
    <w:link w:val="Heading3Char"/>
    <w:uiPriority w:val="9"/>
    <w:semiHidden/>
    <w:unhideWhenUsed/>
    <w:qFormat/>
    <w:rsid w:val="00217B29"/>
    <w:pPr>
      <w:keepNext/>
      <w:keepLines/>
      <w:numPr>
        <w:ilvl w:val="2"/>
        <w:numId w:val="2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17B29"/>
    <w:pPr>
      <w:keepNext/>
      <w:keepLines/>
      <w:numPr>
        <w:ilvl w:val="3"/>
        <w:numId w:val="2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7B29"/>
    <w:pPr>
      <w:keepNext/>
      <w:keepLines/>
      <w:numPr>
        <w:ilvl w:val="4"/>
        <w:numId w:val="2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17B29"/>
    <w:pPr>
      <w:keepNext/>
      <w:keepLines/>
      <w:numPr>
        <w:ilvl w:val="5"/>
        <w:numId w:val="2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17B29"/>
    <w:pPr>
      <w:keepNext/>
      <w:keepLines/>
      <w:numPr>
        <w:ilvl w:val="6"/>
        <w:numId w:val="2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17B29"/>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7B29"/>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5DC"/>
    <w:pPr>
      <w:ind w:left="720"/>
      <w:contextualSpacing/>
    </w:pPr>
  </w:style>
  <w:style w:type="character" w:customStyle="1" w:styleId="Heading2Char">
    <w:name w:val="Heading 2 Char"/>
    <w:basedOn w:val="DefaultParagraphFont"/>
    <w:link w:val="Heading2"/>
    <w:uiPriority w:val="9"/>
    <w:rsid w:val="00E55D59"/>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FB25DC"/>
    <w:rPr>
      <w:i/>
      <w:iCs/>
    </w:rPr>
  </w:style>
  <w:style w:type="character" w:customStyle="1" w:styleId="querysrchtext">
    <w:name w:val="querysrchtext"/>
    <w:basedOn w:val="DefaultParagraphFont"/>
    <w:rsid w:val="00FB25DC"/>
  </w:style>
  <w:style w:type="character" w:styleId="CommentReference">
    <w:name w:val="annotation reference"/>
    <w:basedOn w:val="DefaultParagraphFont"/>
    <w:uiPriority w:val="99"/>
    <w:semiHidden/>
    <w:unhideWhenUsed/>
    <w:rsid w:val="00A473D7"/>
    <w:rPr>
      <w:sz w:val="16"/>
      <w:szCs w:val="16"/>
    </w:rPr>
  </w:style>
  <w:style w:type="paragraph" w:styleId="CommentText">
    <w:name w:val="annotation text"/>
    <w:basedOn w:val="Normal"/>
    <w:link w:val="CommentTextChar"/>
    <w:uiPriority w:val="99"/>
    <w:semiHidden/>
    <w:unhideWhenUsed/>
    <w:rsid w:val="00A473D7"/>
    <w:pPr>
      <w:spacing w:line="240" w:lineRule="auto"/>
    </w:pPr>
    <w:rPr>
      <w:sz w:val="20"/>
      <w:szCs w:val="20"/>
    </w:rPr>
  </w:style>
  <w:style w:type="character" w:customStyle="1" w:styleId="CommentTextChar">
    <w:name w:val="Comment Text Char"/>
    <w:basedOn w:val="DefaultParagraphFont"/>
    <w:link w:val="CommentText"/>
    <w:uiPriority w:val="99"/>
    <w:semiHidden/>
    <w:rsid w:val="00A473D7"/>
    <w:rPr>
      <w:sz w:val="20"/>
      <w:szCs w:val="20"/>
    </w:rPr>
  </w:style>
  <w:style w:type="paragraph" w:styleId="CommentSubject">
    <w:name w:val="annotation subject"/>
    <w:basedOn w:val="CommentText"/>
    <w:next w:val="CommentText"/>
    <w:link w:val="CommentSubjectChar"/>
    <w:uiPriority w:val="99"/>
    <w:semiHidden/>
    <w:unhideWhenUsed/>
    <w:rsid w:val="00A473D7"/>
    <w:rPr>
      <w:b/>
      <w:bCs/>
    </w:rPr>
  </w:style>
  <w:style w:type="character" w:customStyle="1" w:styleId="CommentSubjectChar">
    <w:name w:val="Comment Subject Char"/>
    <w:basedOn w:val="CommentTextChar"/>
    <w:link w:val="CommentSubject"/>
    <w:uiPriority w:val="99"/>
    <w:semiHidden/>
    <w:rsid w:val="00A473D7"/>
    <w:rPr>
      <w:b/>
      <w:bCs/>
      <w:sz w:val="20"/>
      <w:szCs w:val="20"/>
    </w:rPr>
  </w:style>
  <w:style w:type="paragraph" w:styleId="Header">
    <w:name w:val="header"/>
    <w:basedOn w:val="Normal"/>
    <w:link w:val="HeaderChar"/>
    <w:uiPriority w:val="99"/>
    <w:unhideWhenUsed/>
    <w:rsid w:val="00346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2B4"/>
  </w:style>
  <w:style w:type="paragraph" w:styleId="Footer">
    <w:name w:val="footer"/>
    <w:basedOn w:val="Normal"/>
    <w:link w:val="FooterChar"/>
    <w:uiPriority w:val="99"/>
    <w:unhideWhenUsed/>
    <w:rsid w:val="00346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2B4"/>
  </w:style>
  <w:style w:type="table" w:styleId="TableGrid">
    <w:name w:val="Table Grid"/>
    <w:basedOn w:val="TableNormal"/>
    <w:uiPriority w:val="39"/>
    <w:rsid w:val="00721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7D6"/>
    <w:rPr>
      <w:color w:val="0563C1" w:themeColor="hyperlink"/>
      <w:u w:val="single"/>
    </w:rPr>
  </w:style>
  <w:style w:type="character" w:styleId="UnresolvedMention">
    <w:name w:val="Unresolved Mention"/>
    <w:basedOn w:val="DefaultParagraphFont"/>
    <w:uiPriority w:val="99"/>
    <w:semiHidden/>
    <w:unhideWhenUsed/>
    <w:rsid w:val="00F327D6"/>
    <w:rPr>
      <w:color w:val="605E5C"/>
      <w:shd w:val="clear" w:color="auto" w:fill="E1DFDD"/>
    </w:rPr>
  </w:style>
  <w:style w:type="paragraph" w:styleId="Caption">
    <w:name w:val="caption"/>
    <w:basedOn w:val="Normal"/>
    <w:next w:val="Normal"/>
    <w:uiPriority w:val="35"/>
    <w:unhideWhenUsed/>
    <w:qFormat/>
    <w:rsid w:val="001B7B71"/>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217B29"/>
    <w:rPr>
      <w:rFonts w:ascii="Times New Roman" w:hAnsi="Times New Roman" w:cs="Times New Roman"/>
      <w:b/>
      <w:bCs/>
      <w:sz w:val="24"/>
      <w:szCs w:val="24"/>
    </w:rPr>
  </w:style>
  <w:style w:type="paragraph" w:styleId="FootnoteText">
    <w:name w:val="footnote text"/>
    <w:basedOn w:val="Normal"/>
    <w:link w:val="FootnoteTextChar"/>
    <w:uiPriority w:val="99"/>
    <w:semiHidden/>
    <w:unhideWhenUsed/>
    <w:rsid w:val="005328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821"/>
    <w:rPr>
      <w:sz w:val="20"/>
      <w:szCs w:val="20"/>
    </w:rPr>
  </w:style>
  <w:style w:type="character" w:styleId="FootnoteReference">
    <w:name w:val="footnote reference"/>
    <w:basedOn w:val="DefaultParagraphFont"/>
    <w:uiPriority w:val="99"/>
    <w:semiHidden/>
    <w:unhideWhenUsed/>
    <w:rsid w:val="00532821"/>
    <w:rPr>
      <w:vertAlign w:val="superscript"/>
    </w:rPr>
  </w:style>
  <w:style w:type="paragraph" w:styleId="Title">
    <w:name w:val="Title"/>
    <w:basedOn w:val="Normal"/>
    <w:next w:val="Normal"/>
    <w:link w:val="TitleChar"/>
    <w:uiPriority w:val="10"/>
    <w:qFormat/>
    <w:rsid w:val="00217B29"/>
    <w:pPr>
      <w:spacing w:line="360" w:lineRule="auto"/>
      <w:jc w:val="both"/>
    </w:pPr>
    <w:rPr>
      <w:rFonts w:ascii="Times New Roman" w:hAnsi="Times New Roman" w:cs="Times New Roman"/>
      <w:b/>
      <w:bCs/>
      <w:sz w:val="36"/>
      <w:szCs w:val="36"/>
    </w:rPr>
  </w:style>
  <w:style w:type="character" w:customStyle="1" w:styleId="TitleChar">
    <w:name w:val="Title Char"/>
    <w:basedOn w:val="DefaultParagraphFont"/>
    <w:link w:val="Title"/>
    <w:uiPriority w:val="10"/>
    <w:rsid w:val="00217B29"/>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217B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17B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17B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17B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17B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17B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7B29"/>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2E4BDD"/>
    <w:pPr>
      <w:spacing w:after="0" w:line="240" w:lineRule="auto"/>
    </w:pPr>
  </w:style>
  <w:style w:type="character" w:styleId="FollowedHyperlink">
    <w:name w:val="FollowedHyperlink"/>
    <w:basedOn w:val="DefaultParagraphFont"/>
    <w:uiPriority w:val="99"/>
    <w:semiHidden/>
    <w:unhideWhenUsed/>
    <w:rsid w:val="00D53C0E"/>
    <w:rPr>
      <w:color w:val="954F72" w:themeColor="followedHyperlink"/>
      <w:u w:val="single"/>
    </w:rPr>
  </w:style>
  <w:style w:type="paragraph" w:styleId="NormalWeb">
    <w:name w:val="Normal (Web)"/>
    <w:basedOn w:val="Normal"/>
    <w:uiPriority w:val="99"/>
    <w:semiHidden/>
    <w:unhideWhenUsed/>
    <w:rsid w:val="00FA1393"/>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24398">
      <w:bodyDiv w:val="1"/>
      <w:marLeft w:val="0"/>
      <w:marRight w:val="0"/>
      <w:marTop w:val="0"/>
      <w:marBottom w:val="0"/>
      <w:divBdr>
        <w:top w:val="none" w:sz="0" w:space="0" w:color="auto"/>
        <w:left w:val="none" w:sz="0" w:space="0" w:color="auto"/>
        <w:bottom w:val="none" w:sz="0" w:space="0" w:color="auto"/>
        <w:right w:val="none" w:sz="0" w:space="0" w:color="auto"/>
      </w:divBdr>
    </w:div>
    <w:div w:id="516700539">
      <w:bodyDiv w:val="1"/>
      <w:marLeft w:val="0"/>
      <w:marRight w:val="0"/>
      <w:marTop w:val="0"/>
      <w:marBottom w:val="0"/>
      <w:divBdr>
        <w:top w:val="none" w:sz="0" w:space="0" w:color="auto"/>
        <w:left w:val="none" w:sz="0" w:space="0" w:color="auto"/>
        <w:bottom w:val="none" w:sz="0" w:space="0" w:color="auto"/>
        <w:right w:val="none" w:sz="0" w:space="0" w:color="auto"/>
      </w:divBdr>
    </w:div>
    <w:div w:id="539634281">
      <w:bodyDiv w:val="1"/>
      <w:marLeft w:val="0"/>
      <w:marRight w:val="0"/>
      <w:marTop w:val="0"/>
      <w:marBottom w:val="0"/>
      <w:divBdr>
        <w:top w:val="none" w:sz="0" w:space="0" w:color="auto"/>
        <w:left w:val="none" w:sz="0" w:space="0" w:color="auto"/>
        <w:bottom w:val="none" w:sz="0" w:space="0" w:color="auto"/>
        <w:right w:val="none" w:sz="0" w:space="0" w:color="auto"/>
      </w:divBdr>
    </w:div>
    <w:div w:id="678627866">
      <w:bodyDiv w:val="1"/>
      <w:marLeft w:val="0"/>
      <w:marRight w:val="0"/>
      <w:marTop w:val="0"/>
      <w:marBottom w:val="0"/>
      <w:divBdr>
        <w:top w:val="none" w:sz="0" w:space="0" w:color="auto"/>
        <w:left w:val="none" w:sz="0" w:space="0" w:color="auto"/>
        <w:bottom w:val="none" w:sz="0" w:space="0" w:color="auto"/>
        <w:right w:val="none" w:sz="0" w:space="0" w:color="auto"/>
      </w:divBdr>
    </w:div>
    <w:div w:id="948859192">
      <w:bodyDiv w:val="1"/>
      <w:marLeft w:val="0"/>
      <w:marRight w:val="0"/>
      <w:marTop w:val="0"/>
      <w:marBottom w:val="0"/>
      <w:divBdr>
        <w:top w:val="none" w:sz="0" w:space="0" w:color="auto"/>
        <w:left w:val="none" w:sz="0" w:space="0" w:color="auto"/>
        <w:bottom w:val="none" w:sz="0" w:space="0" w:color="auto"/>
        <w:right w:val="none" w:sz="0" w:space="0" w:color="auto"/>
      </w:divBdr>
    </w:div>
    <w:div w:id="1060254467">
      <w:bodyDiv w:val="1"/>
      <w:marLeft w:val="0"/>
      <w:marRight w:val="0"/>
      <w:marTop w:val="0"/>
      <w:marBottom w:val="0"/>
      <w:divBdr>
        <w:top w:val="none" w:sz="0" w:space="0" w:color="auto"/>
        <w:left w:val="none" w:sz="0" w:space="0" w:color="auto"/>
        <w:bottom w:val="none" w:sz="0" w:space="0" w:color="auto"/>
        <w:right w:val="none" w:sz="0" w:space="0" w:color="auto"/>
      </w:divBdr>
    </w:div>
    <w:div w:id="1103498523">
      <w:bodyDiv w:val="1"/>
      <w:marLeft w:val="0"/>
      <w:marRight w:val="0"/>
      <w:marTop w:val="0"/>
      <w:marBottom w:val="0"/>
      <w:divBdr>
        <w:top w:val="none" w:sz="0" w:space="0" w:color="auto"/>
        <w:left w:val="none" w:sz="0" w:space="0" w:color="auto"/>
        <w:bottom w:val="none" w:sz="0" w:space="0" w:color="auto"/>
        <w:right w:val="none" w:sz="0" w:space="0" w:color="auto"/>
      </w:divBdr>
    </w:div>
    <w:div w:id="1261261018">
      <w:bodyDiv w:val="1"/>
      <w:marLeft w:val="0"/>
      <w:marRight w:val="0"/>
      <w:marTop w:val="0"/>
      <w:marBottom w:val="0"/>
      <w:divBdr>
        <w:top w:val="none" w:sz="0" w:space="0" w:color="auto"/>
        <w:left w:val="none" w:sz="0" w:space="0" w:color="auto"/>
        <w:bottom w:val="none" w:sz="0" w:space="0" w:color="auto"/>
        <w:right w:val="none" w:sz="0" w:space="0" w:color="auto"/>
      </w:divBdr>
    </w:div>
    <w:div w:id="1443960191">
      <w:bodyDiv w:val="1"/>
      <w:marLeft w:val="0"/>
      <w:marRight w:val="0"/>
      <w:marTop w:val="0"/>
      <w:marBottom w:val="0"/>
      <w:divBdr>
        <w:top w:val="none" w:sz="0" w:space="0" w:color="auto"/>
        <w:left w:val="none" w:sz="0" w:space="0" w:color="auto"/>
        <w:bottom w:val="none" w:sz="0" w:space="0" w:color="auto"/>
        <w:right w:val="none" w:sz="0" w:space="0" w:color="auto"/>
      </w:divBdr>
    </w:div>
    <w:div w:id="1627421214">
      <w:bodyDiv w:val="1"/>
      <w:marLeft w:val="0"/>
      <w:marRight w:val="0"/>
      <w:marTop w:val="0"/>
      <w:marBottom w:val="0"/>
      <w:divBdr>
        <w:top w:val="none" w:sz="0" w:space="0" w:color="auto"/>
        <w:left w:val="none" w:sz="0" w:space="0" w:color="auto"/>
        <w:bottom w:val="none" w:sz="0" w:space="0" w:color="auto"/>
        <w:right w:val="none" w:sz="0" w:space="0" w:color="auto"/>
      </w:divBdr>
    </w:div>
    <w:div w:id="1644968894">
      <w:bodyDiv w:val="1"/>
      <w:marLeft w:val="0"/>
      <w:marRight w:val="0"/>
      <w:marTop w:val="0"/>
      <w:marBottom w:val="0"/>
      <w:divBdr>
        <w:top w:val="none" w:sz="0" w:space="0" w:color="auto"/>
        <w:left w:val="none" w:sz="0" w:space="0" w:color="auto"/>
        <w:bottom w:val="none" w:sz="0" w:space="0" w:color="auto"/>
        <w:right w:val="none" w:sz="0" w:space="0" w:color="auto"/>
      </w:divBdr>
    </w:div>
    <w:div w:id="176314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yperlink" Target="https://consult.defra.gov.uk/biodiversity/biodiversity_offsetting/supporting_documents/20130903Biodiversity%20offsetting%20green%20paper.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pa.gov/cwa-404/mitigation-banks-under-cwa-section-404"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gov.uk/government/uploads/system/uploads/attachment_data/file/228842/8082.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ieem.net/wp-content/uploads/2019/02/Biodiversity-Net-Gain-Principles.pdf" TargetMode="External"/><Relationship Id="rId20" Type="http://schemas.openxmlformats.org/officeDocument/2006/relationships/hyperlink" Target="http://randd.defra.gov.uk/Default.aspx?Menu=Menu&amp;Module=More&amp;Location=None&amp;ProjectID=206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forest-trends.org/documents/files/doc_2400.pdf" TargetMode="External"/><Relationship Id="rId5" Type="http://schemas.openxmlformats.org/officeDocument/2006/relationships/webSettings" Target="webSettings.xml"/><Relationship Id="rId15" Type="http://schemas.openxmlformats.org/officeDocument/2006/relationships/hyperlink" Target="http://www.forest-trends.org/documents/files/doc_3126.pdf" TargetMode="External"/><Relationship Id="rId23" Type="http://schemas.openxmlformats.org/officeDocument/2006/relationships/hyperlink" Target="https://www.environment.nsw.gov.au/resources/biobanking/140695bbrev.pdf"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www.gov.uk/government/consultations/biodiversity-offsetting-in-england"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randd.defra.gov.uk/Default.aspx?Menu=Menu&amp;Module=More&amp;Location=None&amp;Completed=0&amp;ProjectID=18229" TargetMode="External"/><Relationship Id="rId22" Type="http://schemas.openxmlformats.org/officeDocument/2006/relationships/hyperlink" Target="https://assets.publishing.service.gov.uk/government/uploads/system/uploads/attachment_data/file/693158/25-year-environment-plan.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sites/default/files/2015-11/documents/mitrule_report_october_2015.pdf" TargetMode="External"/><Relationship Id="rId1" Type="http://schemas.openxmlformats.org/officeDocument/2006/relationships/hyperlink" Target="https://ribits.ops.usace.army.mil/ords/f?p=107:158:15110915550763::N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Sheet1!$C$38</c:f>
              <c:strCache>
                <c:ptCount val="1"/>
                <c:pt idx="0">
                  <c:v>On site </c:v>
                </c:pt>
              </c:strCache>
            </c:strRef>
          </c:tx>
          <c:spPr>
            <a:ln w="19050" cap="rnd" cmpd="sng" algn="ctr">
              <a:solidFill>
                <a:schemeClr val="accent6">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105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Sheet1!$D$37:$H$37</c:f>
              <c:numCache>
                <c:formatCode>General</c:formatCode>
                <c:ptCount val="5"/>
                <c:pt idx="0">
                  <c:v>2010</c:v>
                </c:pt>
                <c:pt idx="1">
                  <c:v>2011</c:v>
                </c:pt>
                <c:pt idx="2">
                  <c:v>2012</c:v>
                </c:pt>
                <c:pt idx="3">
                  <c:v>2013</c:v>
                </c:pt>
                <c:pt idx="4">
                  <c:v>2014</c:v>
                </c:pt>
              </c:numCache>
            </c:numRef>
          </c:cat>
          <c:val>
            <c:numRef>
              <c:f>Sheet1!$D$38:$H$38</c:f>
              <c:numCache>
                <c:formatCode>General</c:formatCode>
                <c:ptCount val="5"/>
                <c:pt idx="0">
                  <c:v>2626</c:v>
                </c:pt>
                <c:pt idx="1">
                  <c:v>1895</c:v>
                </c:pt>
                <c:pt idx="2">
                  <c:v>1530</c:v>
                </c:pt>
                <c:pt idx="3">
                  <c:v>1330</c:v>
                </c:pt>
                <c:pt idx="4">
                  <c:v>1053</c:v>
                </c:pt>
              </c:numCache>
            </c:numRef>
          </c:val>
          <c:smooth val="0"/>
          <c:extLst>
            <c:ext xmlns:c16="http://schemas.microsoft.com/office/drawing/2014/chart" uri="{C3380CC4-5D6E-409C-BE32-E72D297353CC}">
              <c16:uniqueId val="{00000000-954A-4F6A-B722-0DB0C06848F8}"/>
            </c:ext>
          </c:extLst>
        </c:ser>
        <c:ser>
          <c:idx val="1"/>
          <c:order val="1"/>
          <c:tx>
            <c:strRef>
              <c:f>Sheet1!$C$39</c:f>
              <c:strCache>
                <c:ptCount val="1"/>
                <c:pt idx="0">
                  <c:v>Off site</c:v>
                </c:pt>
              </c:strCache>
            </c:strRef>
          </c:tx>
          <c:spPr>
            <a:ln w="19050" cap="rnd" cmpd="sng" algn="ctr">
              <a:solidFill>
                <a:schemeClr val="accent5">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105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Sheet1!$D$37:$H$37</c:f>
              <c:numCache>
                <c:formatCode>General</c:formatCode>
                <c:ptCount val="5"/>
                <c:pt idx="0">
                  <c:v>2010</c:v>
                </c:pt>
                <c:pt idx="1">
                  <c:v>2011</c:v>
                </c:pt>
                <c:pt idx="2">
                  <c:v>2012</c:v>
                </c:pt>
                <c:pt idx="3">
                  <c:v>2013</c:v>
                </c:pt>
                <c:pt idx="4">
                  <c:v>2014</c:v>
                </c:pt>
              </c:numCache>
            </c:numRef>
          </c:cat>
          <c:val>
            <c:numRef>
              <c:f>Sheet1!$D$39:$H$39</c:f>
              <c:numCache>
                <c:formatCode>General</c:formatCode>
                <c:ptCount val="5"/>
                <c:pt idx="0">
                  <c:v>529</c:v>
                </c:pt>
                <c:pt idx="1">
                  <c:v>559</c:v>
                </c:pt>
                <c:pt idx="2">
                  <c:v>528</c:v>
                </c:pt>
                <c:pt idx="3">
                  <c:v>440</c:v>
                </c:pt>
                <c:pt idx="4">
                  <c:v>384</c:v>
                </c:pt>
              </c:numCache>
            </c:numRef>
          </c:val>
          <c:smooth val="0"/>
          <c:extLst>
            <c:ext xmlns:c16="http://schemas.microsoft.com/office/drawing/2014/chart" uri="{C3380CC4-5D6E-409C-BE32-E72D297353CC}">
              <c16:uniqueId val="{00000001-954A-4F6A-B722-0DB0C06848F8}"/>
            </c:ext>
          </c:extLst>
        </c:ser>
        <c:ser>
          <c:idx val="2"/>
          <c:order val="2"/>
          <c:tx>
            <c:strRef>
              <c:f>Sheet1!$C$40</c:f>
              <c:strCache>
                <c:ptCount val="1"/>
                <c:pt idx="0">
                  <c:v>Mitigation Bank</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105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Sheet1!$D$37:$H$37</c:f>
              <c:numCache>
                <c:formatCode>General</c:formatCode>
                <c:ptCount val="5"/>
                <c:pt idx="0">
                  <c:v>2010</c:v>
                </c:pt>
                <c:pt idx="1">
                  <c:v>2011</c:v>
                </c:pt>
                <c:pt idx="2">
                  <c:v>2012</c:v>
                </c:pt>
                <c:pt idx="3">
                  <c:v>2013</c:v>
                </c:pt>
                <c:pt idx="4">
                  <c:v>2014</c:v>
                </c:pt>
              </c:numCache>
            </c:numRef>
          </c:cat>
          <c:val>
            <c:numRef>
              <c:f>Sheet1!$D$40:$H$40</c:f>
              <c:numCache>
                <c:formatCode>General</c:formatCode>
                <c:ptCount val="5"/>
                <c:pt idx="0">
                  <c:v>1602</c:v>
                </c:pt>
                <c:pt idx="1">
                  <c:v>1652</c:v>
                </c:pt>
                <c:pt idx="2">
                  <c:v>2113</c:v>
                </c:pt>
                <c:pt idx="3">
                  <c:v>2044</c:v>
                </c:pt>
                <c:pt idx="4">
                  <c:v>2006</c:v>
                </c:pt>
              </c:numCache>
            </c:numRef>
          </c:val>
          <c:smooth val="0"/>
          <c:extLst>
            <c:ext xmlns:c16="http://schemas.microsoft.com/office/drawing/2014/chart" uri="{C3380CC4-5D6E-409C-BE32-E72D297353CC}">
              <c16:uniqueId val="{00000002-954A-4F6A-B722-0DB0C06848F8}"/>
            </c:ext>
          </c:extLst>
        </c:ser>
        <c:ser>
          <c:idx val="3"/>
          <c:order val="3"/>
          <c:tx>
            <c:strRef>
              <c:f>Sheet1!$C$41</c:f>
              <c:strCache>
                <c:ptCount val="1"/>
                <c:pt idx="0">
                  <c:v>In Liu Fee</c:v>
                </c:pt>
              </c:strCache>
            </c:strRef>
          </c:tx>
          <c:spPr>
            <a:ln w="19050" cap="rnd" cmpd="sng" algn="ctr">
              <a:solidFill>
                <a:schemeClr val="accent6">
                  <a:lumMod val="60000"/>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105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Sheet1!$D$37:$H$37</c:f>
              <c:numCache>
                <c:formatCode>General</c:formatCode>
                <c:ptCount val="5"/>
                <c:pt idx="0">
                  <c:v>2010</c:v>
                </c:pt>
                <c:pt idx="1">
                  <c:v>2011</c:v>
                </c:pt>
                <c:pt idx="2">
                  <c:v>2012</c:v>
                </c:pt>
                <c:pt idx="3">
                  <c:v>2013</c:v>
                </c:pt>
                <c:pt idx="4">
                  <c:v>2014</c:v>
                </c:pt>
              </c:numCache>
            </c:numRef>
          </c:cat>
          <c:val>
            <c:numRef>
              <c:f>Sheet1!$D$41:$H$41</c:f>
              <c:numCache>
                <c:formatCode>General</c:formatCode>
                <c:ptCount val="5"/>
                <c:pt idx="0">
                  <c:v>426</c:v>
                </c:pt>
                <c:pt idx="1">
                  <c:v>460</c:v>
                </c:pt>
                <c:pt idx="2">
                  <c:v>526</c:v>
                </c:pt>
                <c:pt idx="3">
                  <c:v>563</c:v>
                </c:pt>
                <c:pt idx="4">
                  <c:v>523</c:v>
                </c:pt>
              </c:numCache>
            </c:numRef>
          </c:val>
          <c:smooth val="0"/>
          <c:extLst>
            <c:ext xmlns:c16="http://schemas.microsoft.com/office/drawing/2014/chart" uri="{C3380CC4-5D6E-409C-BE32-E72D297353CC}">
              <c16:uniqueId val="{00000003-954A-4F6A-B722-0DB0C06848F8}"/>
            </c:ext>
          </c:extLst>
        </c:ser>
        <c:dLbls>
          <c:dLblPos val="ctr"/>
          <c:showLegendKey val="0"/>
          <c:showVal val="1"/>
          <c:showCatName val="0"/>
          <c:showSerName val="0"/>
          <c:showPercent val="0"/>
          <c:showBubbleSize val="0"/>
        </c:dLbls>
        <c:marker val="1"/>
        <c:smooth val="0"/>
        <c:axId val="322758696"/>
        <c:axId val="322759088"/>
      </c:lineChart>
      <c:catAx>
        <c:axId val="32275869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crossAx val="322759088"/>
        <c:crosses val="autoZero"/>
        <c:auto val="1"/>
        <c:lblAlgn val="ctr"/>
        <c:lblOffset val="100"/>
        <c:noMultiLvlLbl val="0"/>
      </c:catAx>
      <c:valAx>
        <c:axId val="322759088"/>
        <c:scaling>
          <c:orientation val="minMax"/>
        </c:scaling>
        <c:delete val="1"/>
        <c:axPos val="l"/>
        <c:title>
          <c:tx>
            <c:rich>
              <a:bodyPr rot="-5400000" spcFirstLastPara="1" vertOverflow="ellipsis" vert="horz" wrap="square" anchor="ctr" anchorCtr="1"/>
              <a:lstStyle/>
              <a:p>
                <a:pPr>
                  <a:defRPr sz="105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r>
                  <a:rPr lang="en-GB"/>
                  <a:t>Number of permits </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322758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sz="1050">
          <a:solidFill>
            <a:schemeClr val="bg1">
              <a:lumMod val="50000"/>
            </a:schemeClr>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23EE9F-7F54-48AA-AAA1-C11E4621FDF0}" type="doc">
      <dgm:prSet loTypeId="urn:microsoft.com/office/officeart/2005/8/layout/orgChart1" loCatId="hierarchy" qsTypeId="urn:microsoft.com/office/officeart/2005/8/quickstyle/simple1" qsCatId="simple" csTypeId="urn:microsoft.com/office/officeart/2005/8/colors/accent6_1" csCatId="accent6" phldr="1"/>
      <dgm:spPr/>
      <dgm:t>
        <a:bodyPr/>
        <a:lstStyle/>
        <a:p>
          <a:endParaRPr lang="en-GB"/>
        </a:p>
      </dgm:t>
    </dgm:pt>
    <dgm:pt modelId="{E62C0FAE-4940-4B6F-AC80-13AAB69E87DE}">
      <dgm:prSet phldrT="[Text]" custT="1"/>
      <dgm:spPr/>
      <dgm:t>
        <a:bodyPr/>
        <a:lstStyle/>
        <a:p>
          <a:r>
            <a:rPr lang="en-GB" sz="1100" dirty="0">
              <a:latin typeface="Times New Roman" panose="02020603050405020304" pitchFamily="18" charset="0"/>
              <a:cs typeface="Times New Roman" panose="02020603050405020304" pitchFamily="18" charset="0"/>
            </a:rPr>
            <a:t>Total number of articles identified after using our search terms (n = 608)</a:t>
          </a:r>
        </a:p>
      </dgm:t>
    </dgm:pt>
    <dgm:pt modelId="{0F11E1F2-1F64-409C-8776-006729135202}" type="parTrans" cxnId="{FA5CD561-E80A-441B-B16F-C6CC4C0198E9}">
      <dgm:prSet/>
      <dgm:spPr/>
      <dgm:t>
        <a:bodyPr/>
        <a:lstStyle/>
        <a:p>
          <a:endParaRPr lang="en-GB" sz="1100">
            <a:latin typeface="Times New Roman" panose="02020603050405020304" pitchFamily="18" charset="0"/>
            <a:cs typeface="Times New Roman" panose="02020603050405020304" pitchFamily="18" charset="0"/>
          </a:endParaRPr>
        </a:p>
      </dgm:t>
    </dgm:pt>
    <dgm:pt modelId="{366F318F-2917-4311-B557-68D152658290}" type="sibTrans" cxnId="{FA5CD561-E80A-441B-B16F-C6CC4C0198E9}">
      <dgm:prSet/>
      <dgm:spPr/>
      <dgm:t>
        <a:bodyPr/>
        <a:lstStyle/>
        <a:p>
          <a:endParaRPr lang="en-GB" sz="1100">
            <a:latin typeface="Times New Roman" panose="02020603050405020304" pitchFamily="18" charset="0"/>
            <a:cs typeface="Times New Roman" panose="02020603050405020304" pitchFamily="18" charset="0"/>
          </a:endParaRPr>
        </a:p>
      </dgm:t>
    </dgm:pt>
    <dgm:pt modelId="{FE4B3E48-9C39-485F-A658-3FB41C51CE02}">
      <dgm:prSet phldrT="[Text]" custT="1"/>
      <dgm:spPr/>
      <dgm:t>
        <a:bodyPr/>
        <a:lstStyle/>
        <a:p>
          <a:r>
            <a:rPr lang="en-GB" sz="1100" dirty="0">
              <a:latin typeface="Times New Roman" panose="02020603050405020304" pitchFamily="18" charset="0"/>
              <a:cs typeface="Times New Roman" panose="02020603050405020304" pitchFamily="18" charset="0"/>
            </a:rPr>
            <a:t>Total number of studies that had relevance to biodiversity offset markets (n = 219)</a:t>
          </a:r>
        </a:p>
      </dgm:t>
    </dgm:pt>
    <dgm:pt modelId="{3B6D726E-00D8-408B-9217-B3E05B810832}" type="parTrans" cxnId="{DC8590D6-D6A0-49AA-B056-B71F936657AF}">
      <dgm:prSet/>
      <dgm:spPr/>
      <dgm:t>
        <a:bodyPr/>
        <a:lstStyle/>
        <a:p>
          <a:endParaRPr lang="en-GB" sz="1100">
            <a:latin typeface="Times New Roman" panose="02020603050405020304" pitchFamily="18" charset="0"/>
            <a:cs typeface="Times New Roman" panose="02020603050405020304" pitchFamily="18" charset="0"/>
          </a:endParaRPr>
        </a:p>
      </dgm:t>
    </dgm:pt>
    <dgm:pt modelId="{F3CC01A2-9A4F-43D2-A680-0B39088CF2B0}" type="sibTrans" cxnId="{DC8590D6-D6A0-49AA-B056-B71F936657AF}">
      <dgm:prSet/>
      <dgm:spPr/>
      <dgm:t>
        <a:bodyPr/>
        <a:lstStyle/>
        <a:p>
          <a:endParaRPr lang="en-GB" sz="1100">
            <a:latin typeface="Times New Roman" panose="02020603050405020304" pitchFamily="18" charset="0"/>
            <a:cs typeface="Times New Roman" panose="02020603050405020304" pitchFamily="18" charset="0"/>
          </a:endParaRPr>
        </a:p>
      </dgm:t>
    </dgm:pt>
    <dgm:pt modelId="{321A0A2F-1CB7-488F-88C0-081BA8D5AFF8}">
      <dgm:prSet phldrT="[Text]" custT="1"/>
      <dgm:spPr/>
      <dgm:t>
        <a:bodyPr/>
        <a:lstStyle/>
        <a:p>
          <a:r>
            <a:rPr lang="en-GB" sz="1100">
              <a:latin typeface="Times New Roman" panose="02020603050405020304" pitchFamily="18" charset="0"/>
              <a:cs typeface="Times New Roman" panose="02020603050405020304" pitchFamily="18" charset="0"/>
            </a:rPr>
            <a:t>Articles (n = 148) were excluded because there was no mention of biodiversity offset markets, or articles focussed purely on restoration success of banks with no modelling of incentives or the financial aspect. Studies of carbon markets or payment for ecosystem services markers (PES) were also excluded</a:t>
          </a:r>
          <a:endParaRPr lang="en-GB" sz="1100" dirty="0">
            <a:latin typeface="Times New Roman" panose="02020603050405020304" pitchFamily="18" charset="0"/>
            <a:cs typeface="Times New Roman" panose="02020603050405020304" pitchFamily="18" charset="0"/>
          </a:endParaRPr>
        </a:p>
      </dgm:t>
    </dgm:pt>
    <dgm:pt modelId="{5512151E-0E01-4236-BB7A-7C524A710D53}" type="parTrans" cxnId="{8B5A7E36-8F90-4A17-8B97-F84BEB22AAB8}">
      <dgm:prSet/>
      <dgm:spPr/>
      <dgm:t>
        <a:bodyPr/>
        <a:lstStyle/>
        <a:p>
          <a:endParaRPr lang="en-GB" sz="1100">
            <a:latin typeface="Times New Roman" panose="02020603050405020304" pitchFamily="18" charset="0"/>
            <a:cs typeface="Times New Roman" panose="02020603050405020304" pitchFamily="18" charset="0"/>
          </a:endParaRPr>
        </a:p>
      </dgm:t>
    </dgm:pt>
    <dgm:pt modelId="{BF079420-ED60-4ACE-B93C-EB96254BD4BF}" type="sibTrans" cxnId="{8B5A7E36-8F90-4A17-8B97-F84BEB22AAB8}">
      <dgm:prSet/>
      <dgm:spPr/>
      <dgm:t>
        <a:bodyPr/>
        <a:lstStyle/>
        <a:p>
          <a:endParaRPr lang="en-GB" sz="1100">
            <a:latin typeface="Times New Roman" panose="02020603050405020304" pitchFamily="18" charset="0"/>
            <a:cs typeface="Times New Roman" panose="02020603050405020304" pitchFamily="18" charset="0"/>
          </a:endParaRPr>
        </a:p>
      </dgm:t>
    </dgm:pt>
    <dgm:pt modelId="{9B51E033-A388-4C26-8058-7CA6C82F96BE}">
      <dgm:prSet phldrT="[Text]" custT="1"/>
      <dgm:spPr/>
      <dgm:t>
        <a:bodyPr/>
        <a:lstStyle/>
        <a:p>
          <a:r>
            <a:rPr lang="en-GB" sz="1100">
              <a:latin typeface="Times New Roman" panose="02020603050405020304" pitchFamily="18" charset="0"/>
              <a:cs typeface="Times New Roman" panose="02020603050405020304" pitchFamily="18" charset="0"/>
            </a:rPr>
            <a:t>Articles selected after removal of duplicates, commentaries, books and book chapters </a:t>
          </a:r>
          <a:r>
            <a:rPr lang="en-GB" sz="1100" dirty="0">
              <a:latin typeface="Times New Roman" panose="02020603050405020304" pitchFamily="18" charset="0"/>
              <a:cs typeface="Times New Roman" panose="02020603050405020304" pitchFamily="18" charset="0"/>
            </a:rPr>
            <a:t>(n = 71)</a:t>
          </a:r>
        </a:p>
      </dgm:t>
    </dgm:pt>
    <dgm:pt modelId="{BB13B2F9-7CB4-44A8-B1F0-7BE991F2620C}" type="parTrans" cxnId="{9C7A3492-F308-445A-A047-F3B91EDBFFC6}">
      <dgm:prSet/>
      <dgm:spPr/>
      <dgm:t>
        <a:bodyPr/>
        <a:lstStyle/>
        <a:p>
          <a:endParaRPr lang="en-GB" sz="1100">
            <a:latin typeface="Times New Roman" panose="02020603050405020304" pitchFamily="18" charset="0"/>
            <a:cs typeface="Times New Roman" panose="02020603050405020304" pitchFamily="18" charset="0"/>
          </a:endParaRPr>
        </a:p>
      </dgm:t>
    </dgm:pt>
    <dgm:pt modelId="{10BA4AFB-AEE4-4452-8A69-1720FF970C19}" type="sibTrans" cxnId="{9C7A3492-F308-445A-A047-F3B91EDBFFC6}">
      <dgm:prSet/>
      <dgm:spPr/>
      <dgm:t>
        <a:bodyPr/>
        <a:lstStyle/>
        <a:p>
          <a:endParaRPr lang="en-GB" sz="1100">
            <a:latin typeface="Times New Roman" panose="02020603050405020304" pitchFamily="18" charset="0"/>
            <a:cs typeface="Times New Roman" panose="02020603050405020304" pitchFamily="18" charset="0"/>
          </a:endParaRPr>
        </a:p>
      </dgm:t>
    </dgm:pt>
    <dgm:pt modelId="{93BDB29D-D8AD-4BA5-94BB-EC81A8B1D96B}">
      <dgm:prSet custT="1"/>
      <dgm:spPr/>
      <dgm:t>
        <a:bodyPr/>
        <a:lstStyle/>
        <a:p>
          <a:r>
            <a:rPr lang="en-GB" sz="1100">
              <a:latin typeface="Times New Roman" panose="02020603050405020304" pitchFamily="18" charset="0"/>
              <a:cs typeface="Times New Roman" panose="02020603050405020304" pitchFamily="18" charset="0"/>
            </a:rPr>
            <a:t>Full-text screening and number of empirical studies included in our review (n = 42)</a:t>
          </a:r>
        </a:p>
      </dgm:t>
    </dgm:pt>
    <dgm:pt modelId="{F3F3A4D1-A9DB-4E8F-AE84-88BF66F95170}" type="parTrans" cxnId="{402310FD-77E9-4A99-BE12-423F0073F555}">
      <dgm:prSet/>
      <dgm:spPr/>
      <dgm:t>
        <a:bodyPr/>
        <a:lstStyle/>
        <a:p>
          <a:endParaRPr lang="en-GB" sz="1100">
            <a:latin typeface="Times New Roman" panose="02020603050405020304" pitchFamily="18" charset="0"/>
            <a:cs typeface="Times New Roman" panose="02020603050405020304" pitchFamily="18" charset="0"/>
          </a:endParaRPr>
        </a:p>
      </dgm:t>
    </dgm:pt>
    <dgm:pt modelId="{12EE7448-2CD0-4DA2-A6AA-3A2A26D9D424}" type="sibTrans" cxnId="{402310FD-77E9-4A99-BE12-423F0073F555}">
      <dgm:prSet/>
      <dgm:spPr/>
      <dgm:t>
        <a:bodyPr/>
        <a:lstStyle/>
        <a:p>
          <a:endParaRPr lang="en-GB" sz="1100">
            <a:latin typeface="Times New Roman" panose="02020603050405020304" pitchFamily="18" charset="0"/>
            <a:cs typeface="Times New Roman" panose="02020603050405020304" pitchFamily="18" charset="0"/>
          </a:endParaRPr>
        </a:p>
      </dgm:t>
    </dgm:pt>
    <dgm:pt modelId="{B1C6CAB6-78FB-45DB-981A-5BD55D5B9252}">
      <dgm:prSet custT="1"/>
      <dgm:spPr/>
      <dgm:t>
        <a:bodyPr/>
        <a:lstStyle/>
        <a:p>
          <a:pPr algn="l"/>
          <a:r>
            <a:rPr lang="en-US" sz="1100">
              <a:latin typeface="Times New Roman" panose="02020603050405020304" pitchFamily="18" charset="0"/>
              <a:cs typeface="Times New Roman" panose="02020603050405020304" pitchFamily="18" charset="0"/>
            </a:rPr>
            <a:t>Full text articles were excluded because:</a:t>
          </a:r>
        </a:p>
        <a:p>
          <a:pPr algn="l"/>
          <a:r>
            <a:rPr lang="en-US" sz="1100">
              <a:latin typeface="Times New Roman" panose="02020603050405020304" pitchFamily="18" charset="0"/>
              <a:cs typeface="Times New Roman" panose="02020603050405020304" pitchFamily="18" charset="0"/>
            </a:rPr>
            <a:t>They did not include any secondary or primary data </a:t>
          </a:r>
        </a:p>
        <a:p>
          <a:pPr algn="l"/>
          <a:r>
            <a:rPr lang="en-US" sz="1100">
              <a:latin typeface="Times New Roman" panose="02020603050405020304" pitchFamily="18" charset="0"/>
              <a:cs typeface="Times New Roman" panose="02020603050405020304" pitchFamily="18" charset="0"/>
            </a:rPr>
            <a:t>Did not mention payments or incentives for landowners </a:t>
          </a:r>
        </a:p>
        <a:p>
          <a:pPr algn="l"/>
          <a:r>
            <a:rPr lang="en-US" sz="1100">
              <a:latin typeface="Times New Roman" panose="02020603050405020304" pitchFamily="18" charset="0"/>
              <a:cs typeface="Times New Roman" panose="02020603050405020304" pitchFamily="18" charset="0"/>
            </a:rPr>
            <a:t>Focused primarily on the ecological outcomes of biodiversity offset markets with no reference to the economic outcomes and/or incentives</a:t>
          </a:r>
          <a:endParaRPr lang="en-GB" sz="1100">
            <a:latin typeface="Times New Roman" panose="02020603050405020304" pitchFamily="18" charset="0"/>
            <a:cs typeface="Times New Roman" panose="02020603050405020304" pitchFamily="18" charset="0"/>
          </a:endParaRPr>
        </a:p>
      </dgm:t>
    </dgm:pt>
    <dgm:pt modelId="{E6F72638-0574-4A3B-A482-F90B06F7A749}" type="parTrans" cxnId="{9D761B96-E999-476F-A51A-53AB55BC3093}">
      <dgm:prSet/>
      <dgm:spPr/>
      <dgm:t>
        <a:bodyPr/>
        <a:lstStyle/>
        <a:p>
          <a:endParaRPr lang="en-GB"/>
        </a:p>
      </dgm:t>
    </dgm:pt>
    <dgm:pt modelId="{C718D384-679A-4F6E-A81E-0851CD9C227F}" type="sibTrans" cxnId="{9D761B96-E999-476F-A51A-53AB55BC3093}">
      <dgm:prSet/>
      <dgm:spPr/>
      <dgm:t>
        <a:bodyPr/>
        <a:lstStyle/>
        <a:p>
          <a:endParaRPr lang="en-GB"/>
        </a:p>
      </dgm:t>
    </dgm:pt>
    <dgm:pt modelId="{E3C57908-2CEB-4E5C-82EB-17A8C4D2D4D2}" type="pres">
      <dgm:prSet presAssocID="{6F23EE9F-7F54-48AA-AAA1-C11E4621FDF0}" presName="hierChild1" presStyleCnt="0">
        <dgm:presLayoutVars>
          <dgm:orgChart val="1"/>
          <dgm:chPref val="1"/>
          <dgm:dir/>
          <dgm:animOne val="branch"/>
          <dgm:animLvl val="lvl"/>
          <dgm:resizeHandles/>
        </dgm:presLayoutVars>
      </dgm:prSet>
      <dgm:spPr/>
    </dgm:pt>
    <dgm:pt modelId="{F1A0EA40-32F5-4C76-8929-5213784A7AEA}" type="pres">
      <dgm:prSet presAssocID="{E62C0FAE-4940-4B6F-AC80-13AAB69E87DE}" presName="hierRoot1" presStyleCnt="0">
        <dgm:presLayoutVars>
          <dgm:hierBranch val="init"/>
        </dgm:presLayoutVars>
      </dgm:prSet>
      <dgm:spPr/>
    </dgm:pt>
    <dgm:pt modelId="{595CFF8B-3A05-46A0-B1B3-FB300AEE3D45}" type="pres">
      <dgm:prSet presAssocID="{E62C0FAE-4940-4B6F-AC80-13AAB69E87DE}" presName="rootComposite1" presStyleCnt="0"/>
      <dgm:spPr/>
    </dgm:pt>
    <dgm:pt modelId="{8704FE33-740B-4807-B95B-E60699E1D341}" type="pres">
      <dgm:prSet presAssocID="{E62C0FAE-4940-4B6F-AC80-13AAB69E87DE}" presName="rootText1" presStyleLbl="node0" presStyleIdx="0" presStyleCnt="1">
        <dgm:presLayoutVars>
          <dgm:chPref val="3"/>
        </dgm:presLayoutVars>
      </dgm:prSet>
      <dgm:spPr/>
    </dgm:pt>
    <dgm:pt modelId="{1F6883A1-778C-481A-8E78-B546178F4A4E}" type="pres">
      <dgm:prSet presAssocID="{E62C0FAE-4940-4B6F-AC80-13AAB69E87DE}" presName="rootConnector1" presStyleLbl="node1" presStyleIdx="0" presStyleCnt="0"/>
      <dgm:spPr/>
    </dgm:pt>
    <dgm:pt modelId="{EAE8B6A9-0DA2-4879-98F0-2344074C71DA}" type="pres">
      <dgm:prSet presAssocID="{E62C0FAE-4940-4B6F-AC80-13AAB69E87DE}" presName="hierChild2" presStyleCnt="0"/>
      <dgm:spPr/>
    </dgm:pt>
    <dgm:pt modelId="{C33614AB-0562-4B32-8D37-468158B9BB16}" type="pres">
      <dgm:prSet presAssocID="{3B6D726E-00D8-408B-9217-B3E05B810832}" presName="Name37" presStyleLbl="parChTrans1D2" presStyleIdx="0" presStyleCnt="1"/>
      <dgm:spPr/>
    </dgm:pt>
    <dgm:pt modelId="{8847B1CF-1F52-48E6-8FB5-83908154FD16}" type="pres">
      <dgm:prSet presAssocID="{FE4B3E48-9C39-485F-A658-3FB41C51CE02}" presName="hierRoot2" presStyleCnt="0">
        <dgm:presLayoutVars>
          <dgm:hierBranch val="init"/>
        </dgm:presLayoutVars>
      </dgm:prSet>
      <dgm:spPr/>
    </dgm:pt>
    <dgm:pt modelId="{743CBAEA-F1E1-437F-BE51-B0D11B220307}" type="pres">
      <dgm:prSet presAssocID="{FE4B3E48-9C39-485F-A658-3FB41C51CE02}" presName="rootComposite" presStyleCnt="0"/>
      <dgm:spPr/>
    </dgm:pt>
    <dgm:pt modelId="{B3C80F3A-DD87-4CA9-B9E7-092B825EB9ED}" type="pres">
      <dgm:prSet presAssocID="{FE4B3E48-9C39-485F-A658-3FB41C51CE02}" presName="rootText" presStyleLbl="node2" presStyleIdx="0" presStyleCnt="1">
        <dgm:presLayoutVars>
          <dgm:chPref val="3"/>
        </dgm:presLayoutVars>
      </dgm:prSet>
      <dgm:spPr/>
    </dgm:pt>
    <dgm:pt modelId="{D34325CA-5C86-4712-B7B9-46EDF0964A85}" type="pres">
      <dgm:prSet presAssocID="{FE4B3E48-9C39-485F-A658-3FB41C51CE02}" presName="rootConnector" presStyleLbl="node2" presStyleIdx="0" presStyleCnt="1"/>
      <dgm:spPr/>
    </dgm:pt>
    <dgm:pt modelId="{6039D62E-AB1D-4434-BEF1-291E18DD7003}" type="pres">
      <dgm:prSet presAssocID="{FE4B3E48-9C39-485F-A658-3FB41C51CE02}" presName="hierChild4" presStyleCnt="0"/>
      <dgm:spPr/>
    </dgm:pt>
    <dgm:pt modelId="{08AC8EE8-F106-4B59-A290-3B5B58386EC2}" type="pres">
      <dgm:prSet presAssocID="{5512151E-0E01-4236-BB7A-7C524A710D53}" presName="Name37" presStyleLbl="parChTrans1D3" presStyleIdx="0" presStyleCnt="2"/>
      <dgm:spPr/>
    </dgm:pt>
    <dgm:pt modelId="{DD764764-4F75-47F3-8257-F87B51A42C1A}" type="pres">
      <dgm:prSet presAssocID="{321A0A2F-1CB7-488F-88C0-081BA8D5AFF8}" presName="hierRoot2" presStyleCnt="0">
        <dgm:presLayoutVars>
          <dgm:hierBranch val="init"/>
        </dgm:presLayoutVars>
      </dgm:prSet>
      <dgm:spPr/>
    </dgm:pt>
    <dgm:pt modelId="{43AA7119-3A2C-4569-9536-36A12A32A04A}" type="pres">
      <dgm:prSet presAssocID="{321A0A2F-1CB7-488F-88C0-081BA8D5AFF8}" presName="rootComposite" presStyleCnt="0"/>
      <dgm:spPr/>
    </dgm:pt>
    <dgm:pt modelId="{14AEEEA9-C696-4511-A6CD-E60C69B5AEB3}" type="pres">
      <dgm:prSet presAssocID="{321A0A2F-1CB7-488F-88C0-081BA8D5AFF8}" presName="rootText" presStyleLbl="node3" presStyleIdx="0" presStyleCnt="2" custScaleY="142025">
        <dgm:presLayoutVars>
          <dgm:chPref val="3"/>
        </dgm:presLayoutVars>
      </dgm:prSet>
      <dgm:spPr/>
    </dgm:pt>
    <dgm:pt modelId="{233CEE3E-BAE6-4BE6-BBE9-4B19A142BE87}" type="pres">
      <dgm:prSet presAssocID="{321A0A2F-1CB7-488F-88C0-081BA8D5AFF8}" presName="rootConnector" presStyleLbl="node3" presStyleIdx="0" presStyleCnt="2"/>
      <dgm:spPr/>
    </dgm:pt>
    <dgm:pt modelId="{759385C3-8CC0-413C-8462-F63B7FC46BA5}" type="pres">
      <dgm:prSet presAssocID="{321A0A2F-1CB7-488F-88C0-081BA8D5AFF8}" presName="hierChild4" presStyleCnt="0"/>
      <dgm:spPr/>
    </dgm:pt>
    <dgm:pt modelId="{19292BD9-F226-48A3-A091-ABE26FC0D516}" type="pres">
      <dgm:prSet presAssocID="{321A0A2F-1CB7-488F-88C0-081BA8D5AFF8}" presName="hierChild5" presStyleCnt="0"/>
      <dgm:spPr/>
    </dgm:pt>
    <dgm:pt modelId="{36D629B9-550C-4979-80D4-D2E9EB4C27FA}" type="pres">
      <dgm:prSet presAssocID="{BB13B2F9-7CB4-44A8-B1F0-7BE991F2620C}" presName="Name37" presStyleLbl="parChTrans1D3" presStyleIdx="1" presStyleCnt="2"/>
      <dgm:spPr/>
    </dgm:pt>
    <dgm:pt modelId="{D83CC42E-7700-472A-AF2E-A5FCC54388D6}" type="pres">
      <dgm:prSet presAssocID="{9B51E033-A388-4C26-8058-7CA6C82F96BE}" presName="hierRoot2" presStyleCnt="0">
        <dgm:presLayoutVars>
          <dgm:hierBranch val="init"/>
        </dgm:presLayoutVars>
      </dgm:prSet>
      <dgm:spPr/>
    </dgm:pt>
    <dgm:pt modelId="{F062C013-01C3-46C3-B8FE-110E97A09CB2}" type="pres">
      <dgm:prSet presAssocID="{9B51E033-A388-4C26-8058-7CA6C82F96BE}" presName="rootComposite" presStyleCnt="0"/>
      <dgm:spPr/>
    </dgm:pt>
    <dgm:pt modelId="{86A4CC45-8D55-43E8-9062-6CDDBD5A46B1}" type="pres">
      <dgm:prSet presAssocID="{9B51E033-A388-4C26-8058-7CA6C82F96BE}" presName="rootText" presStyleLbl="node3" presStyleIdx="1" presStyleCnt="2">
        <dgm:presLayoutVars>
          <dgm:chPref val="3"/>
        </dgm:presLayoutVars>
      </dgm:prSet>
      <dgm:spPr/>
    </dgm:pt>
    <dgm:pt modelId="{B09AB7FA-DA6C-42F1-ABEA-514F07AB0AC8}" type="pres">
      <dgm:prSet presAssocID="{9B51E033-A388-4C26-8058-7CA6C82F96BE}" presName="rootConnector" presStyleLbl="node3" presStyleIdx="1" presStyleCnt="2"/>
      <dgm:spPr/>
    </dgm:pt>
    <dgm:pt modelId="{BFE296DE-12ED-4CFF-BE3A-1EBEC5D99579}" type="pres">
      <dgm:prSet presAssocID="{9B51E033-A388-4C26-8058-7CA6C82F96BE}" presName="hierChild4" presStyleCnt="0"/>
      <dgm:spPr/>
    </dgm:pt>
    <dgm:pt modelId="{E6291FDD-8456-4E8B-B9C9-6410ED80A7D7}" type="pres">
      <dgm:prSet presAssocID="{F3F3A4D1-A9DB-4E8F-AE84-88BF66F95170}" presName="Name37" presStyleLbl="parChTrans1D4" presStyleIdx="0" presStyleCnt="2"/>
      <dgm:spPr/>
    </dgm:pt>
    <dgm:pt modelId="{DA5971E3-42A1-4E8B-929B-5F589A9E0587}" type="pres">
      <dgm:prSet presAssocID="{93BDB29D-D8AD-4BA5-94BB-EC81A8B1D96B}" presName="hierRoot2" presStyleCnt="0">
        <dgm:presLayoutVars>
          <dgm:hierBranch val="init"/>
        </dgm:presLayoutVars>
      </dgm:prSet>
      <dgm:spPr/>
    </dgm:pt>
    <dgm:pt modelId="{04AB04A8-F5E1-4A51-9ED4-63C4F3499118}" type="pres">
      <dgm:prSet presAssocID="{93BDB29D-D8AD-4BA5-94BB-EC81A8B1D96B}" presName="rootComposite" presStyleCnt="0"/>
      <dgm:spPr/>
    </dgm:pt>
    <dgm:pt modelId="{95870E10-E0F7-4B85-8F4B-6A2BAB5E5B94}" type="pres">
      <dgm:prSet presAssocID="{93BDB29D-D8AD-4BA5-94BB-EC81A8B1D96B}" presName="rootText" presStyleLbl="node4" presStyleIdx="0" presStyleCnt="2">
        <dgm:presLayoutVars>
          <dgm:chPref val="3"/>
        </dgm:presLayoutVars>
      </dgm:prSet>
      <dgm:spPr/>
    </dgm:pt>
    <dgm:pt modelId="{F59F1136-65CD-472C-A4AE-87921833ACAB}" type="pres">
      <dgm:prSet presAssocID="{93BDB29D-D8AD-4BA5-94BB-EC81A8B1D96B}" presName="rootConnector" presStyleLbl="node4" presStyleIdx="0" presStyleCnt="2"/>
      <dgm:spPr/>
    </dgm:pt>
    <dgm:pt modelId="{996F0E9D-4487-499B-91C3-44A1C6595959}" type="pres">
      <dgm:prSet presAssocID="{93BDB29D-D8AD-4BA5-94BB-EC81A8B1D96B}" presName="hierChild4" presStyleCnt="0"/>
      <dgm:spPr/>
    </dgm:pt>
    <dgm:pt modelId="{85B82688-CA0B-4502-B385-8F12145C7715}" type="pres">
      <dgm:prSet presAssocID="{E6F72638-0574-4A3B-A482-F90B06F7A749}" presName="Name37" presStyleLbl="parChTrans1D4" presStyleIdx="1" presStyleCnt="2"/>
      <dgm:spPr/>
    </dgm:pt>
    <dgm:pt modelId="{DE5DE996-E958-4597-9D72-9D07115B882A}" type="pres">
      <dgm:prSet presAssocID="{B1C6CAB6-78FB-45DB-981A-5BD55D5B9252}" presName="hierRoot2" presStyleCnt="0">
        <dgm:presLayoutVars>
          <dgm:hierBranch val="init"/>
        </dgm:presLayoutVars>
      </dgm:prSet>
      <dgm:spPr/>
    </dgm:pt>
    <dgm:pt modelId="{05ACAFD5-1218-43F4-89E8-C44DC847C8E6}" type="pres">
      <dgm:prSet presAssocID="{B1C6CAB6-78FB-45DB-981A-5BD55D5B9252}" presName="rootComposite" presStyleCnt="0"/>
      <dgm:spPr/>
    </dgm:pt>
    <dgm:pt modelId="{B84FFB5D-473D-4BB3-9E93-C458212EE370}" type="pres">
      <dgm:prSet presAssocID="{B1C6CAB6-78FB-45DB-981A-5BD55D5B9252}" presName="rootText" presStyleLbl="node4" presStyleIdx="1" presStyleCnt="2" custScaleY="192372">
        <dgm:presLayoutVars>
          <dgm:chPref val="3"/>
        </dgm:presLayoutVars>
      </dgm:prSet>
      <dgm:spPr/>
    </dgm:pt>
    <dgm:pt modelId="{B674C11A-A125-46FC-90DC-6D11F1CF81F1}" type="pres">
      <dgm:prSet presAssocID="{B1C6CAB6-78FB-45DB-981A-5BD55D5B9252}" presName="rootConnector" presStyleLbl="node4" presStyleIdx="1" presStyleCnt="2"/>
      <dgm:spPr/>
    </dgm:pt>
    <dgm:pt modelId="{03560639-8951-4223-8268-F2DB5ACDE517}" type="pres">
      <dgm:prSet presAssocID="{B1C6CAB6-78FB-45DB-981A-5BD55D5B9252}" presName="hierChild4" presStyleCnt="0"/>
      <dgm:spPr/>
    </dgm:pt>
    <dgm:pt modelId="{4DD15D0D-FB97-4E44-8D10-A0F5FDCE48CF}" type="pres">
      <dgm:prSet presAssocID="{B1C6CAB6-78FB-45DB-981A-5BD55D5B9252}" presName="hierChild5" presStyleCnt="0"/>
      <dgm:spPr/>
    </dgm:pt>
    <dgm:pt modelId="{3D4C2713-C3DE-4064-ABFD-1B83EAD62A1D}" type="pres">
      <dgm:prSet presAssocID="{93BDB29D-D8AD-4BA5-94BB-EC81A8B1D96B}" presName="hierChild5" presStyleCnt="0"/>
      <dgm:spPr/>
    </dgm:pt>
    <dgm:pt modelId="{74BAEE48-723E-4EB5-8011-696C365BAF17}" type="pres">
      <dgm:prSet presAssocID="{9B51E033-A388-4C26-8058-7CA6C82F96BE}" presName="hierChild5" presStyleCnt="0"/>
      <dgm:spPr/>
    </dgm:pt>
    <dgm:pt modelId="{B52C4DEB-3469-4DA2-B789-349B69431640}" type="pres">
      <dgm:prSet presAssocID="{FE4B3E48-9C39-485F-A658-3FB41C51CE02}" presName="hierChild5" presStyleCnt="0"/>
      <dgm:spPr/>
    </dgm:pt>
    <dgm:pt modelId="{02F0D069-0FDB-4F3A-A67E-D01B305B48D2}" type="pres">
      <dgm:prSet presAssocID="{E62C0FAE-4940-4B6F-AC80-13AAB69E87DE}" presName="hierChild3" presStyleCnt="0"/>
      <dgm:spPr/>
    </dgm:pt>
  </dgm:ptLst>
  <dgm:cxnLst>
    <dgm:cxn modelId="{9A28AA02-CC5A-461E-9A34-4BDD1F827E6E}" type="presOf" srcId="{B1C6CAB6-78FB-45DB-981A-5BD55D5B9252}" destId="{B674C11A-A125-46FC-90DC-6D11F1CF81F1}" srcOrd="1" destOrd="0" presId="urn:microsoft.com/office/officeart/2005/8/layout/orgChart1"/>
    <dgm:cxn modelId="{1AA38404-6775-4EB5-82F7-F9D194303EF2}" type="presOf" srcId="{E62C0FAE-4940-4B6F-AC80-13AAB69E87DE}" destId="{1F6883A1-778C-481A-8E78-B546178F4A4E}" srcOrd="1" destOrd="0" presId="urn:microsoft.com/office/officeart/2005/8/layout/orgChart1"/>
    <dgm:cxn modelId="{6AEA4D0C-67DE-494E-A93D-DE0122935B6B}" type="presOf" srcId="{FE4B3E48-9C39-485F-A658-3FB41C51CE02}" destId="{B3C80F3A-DD87-4CA9-B9E7-092B825EB9ED}" srcOrd="0" destOrd="0" presId="urn:microsoft.com/office/officeart/2005/8/layout/orgChart1"/>
    <dgm:cxn modelId="{2AF77920-2CBF-4782-A3D5-EBE69703AF34}" type="presOf" srcId="{FE4B3E48-9C39-485F-A658-3FB41C51CE02}" destId="{D34325CA-5C86-4712-B7B9-46EDF0964A85}" srcOrd="1" destOrd="0" presId="urn:microsoft.com/office/officeart/2005/8/layout/orgChart1"/>
    <dgm:cxn modelId="{6B5F9D31-3C91-4816-A00D-CA3DCE340182}" type="presOf" srcId="{5512151E-0E01-4236-BB7A-7C524A710D53}" destId="{08AC8EE8-F106-4B59-A290-3B5B58386EC2}" srcOrd="0" destOrd="0" presId="urn:microsoft.com/office/officeart/2005/8/layout/orgChart1"/>
    <dgm:cxn modelId="{8B5A7E36-8F90-4A17-8B97-F84BEB22AAB8}" srcId="{FE4B3E48-9C39-485F-A658-3FB41C51CE02}" destId="{321A0A2F-1CB7-488F-88C0-081BA8D5AFF8}" srcOrd="0" destOrd="0" parTransId="{5512151E-0E01-4236-BB7A-7C524A710D53}" sibTransId="{BF079420-ED60-4ACE-B93C-EB96254BD4BF}"/>
    <dgm:cxn modelId="{F5AD243A-3A54-49C1-8D16-432FA2FCDDC2}" type="presOf" srcId="{6F23EE9F-7F54-48AA-AAA1-C11E4621FDF0}" destId="{E3C57908-2CEB-4E5C-82EB-17A8C4D2D4D2}" srcOrd="0" destOrd="0" presId="urn:microsoft.com/office/officeart/2005/8/layout/orgChart1"/>
    <dgm:cxn modelId="{067BD83F-BA0A-4EFA-AC7D-32DF35D794E6}" type="presOf" srcId="{9B51E033-A388-4C26-8058-7CA6C82F96BE}" destId="{86A4CC45-8D55-43E8-9062-6CDDBD5A46B1}" srcOrd="0" destOrd="0" presId="urn:microsoft.com/office/officeart/2005/8/layout/orgChart1"/>
    <dgm:cxn modelId="{97F3485D-6493-4ED5-8A9B-15555CE33A50}" type="presOf" srcId="{321A0A2F-1CB7-488F-88C0-081BA8D5AFF8}" destId="{14AEEEA9-C696-4511-A6CD-E60C69B5AEB3}" srcOrd="0" destOrd="0" presId="urn:microsoft.com/office/officeart/2005/8/layout/orgChart1"/>
    <dgm:cxn modelId="{7C900C5E-CA06-442F-BC79-73994772F1C7}" type="presOf" srcId="{9B51E033-A388-4C26-8058-7CA6C82F96BE}" destId="{B09AB7FA-DA6C-42F1-ABEA-514F07AB0AC8}" srcOrd="1" destOrd="0" presId="urn:microsoft.com/office/officeart/2005/8/layout/orgChart1"/>
    <dgm:cxn modelId="{FA5CD561-E80A-441B-B16F-C6CC4C0198E9}" srcId="{6F23EE9F-7F54-48AA-AAA1-C11E4621FDF0}" destId="{E62C0FAE-4940-4B6F-AC80-13AAB69E87DE}" srcOrd="0" destOrd="0" parTransId="{0F11E1F2-1F64-409C-8776-006729135202}" sibTransId="{366F318F-2917-4311-B557-68D152658290}"/>
    <dgm:cxn modelId="{31E93E45-2693-464F-9B14-B7B6B6622888}" type="presOf" srcId="{B1C6CAB6-78FB-45DB-981A-5BD55D5B9252}" destId="{B84FFB5D-473D-4BB3-9E93-C458212EE370}" srcOrd="0" destOrd="0" presId="urn:microsoft.com/office/officeart/2005/8/layout/orgChart1"/>
    <dgm:cxn modelId="{7DEAD746-A389-4A52-94C0-1D7AF946516F}" type="presOf" srcId="{93BDB29D-D8AD-4BA5-94BB-EC81A8B1D96B}" destId="{95870E10-E0F7-4B85-8F4B-6A2BAB5E5B94}" srcOrd="0" destOrd="0" presId="urn:microsoft.com/office/officeart/2005/8/layout/orgChart1"/>
    <dgm:cxn modelId="{27E0696F-C8D3-4115-B0BE-FDCE172DC680}" type="presOf" srcId="{3B6D726E-00D8-408B-9217-B3E05B810832}" destId="{C33614AB-0562-4B32-8D37-468158B9BB16}" srcOrd="0" destOrd="0" presId="urn:microsoft.com/office/officeart/2005/8/layout/orgChart1"/>
    <dgm:cxn modelId="{4538728A-A1EF-49E4-8D5C-46C9743D89C0}" type="presOf" srcId="{321A0A2F-1CB7-488F-88C0-081BA8D5AFF8}" destId="{233CEE3E-BAE6-4BE6-BBE9-4B19A142BE87}" srcOrd="1" destOrd="0" presId="urn:microsoft.com/office/officeart/2005/8/layout/orgChart1"/>
    <dgm:cxn modelId="{9C7A3492-F308-445A-A047-F3B91EDBFFC6}" srcId="{FE4B3E48-9C39-485F-A658-3FB41C51CE02}" destId="{9B51E033-A388-4C26-8058-7CA6C82F96BE}" srcOrd="1" destOrd="0" parTransId="{BB13B2F9-7CB4-44A8-B1F0-7BE991F2620C}" sibTransId="{10BA4AFB-AEE4-4452-8A69-1720FF970C19}"/>
    <dgm:cxn modelId="{9D761B96-E999-476F-A51A-53AB55BC3093}" srcId="{93BDB29D-D8AD-4BA5-94BB-EC81A8B1D96B}" destId="{B1C6CAB6-78FB-45DB-981A-5BD55D5B9252}" srcOrd="0" destOrd="0" parTransId="{E6F72638-0574-4A3B-A482-F90B06F7A749}" sibTransId="{C718D384-679A-4F6E-A81E-0851CD9C227F}"/>
    <dgm:cxn modelId="{58B12B98-DD18-4BD9-B8B4-7B6A76EA76BB}" type="presOf" srcId="{BB13B2F9-7CB4-44A8-B1F0-7BE991F2620C}" destId="{36D629B9-550C-4979-80D4-D2E9EB4C27FA}" srcOrd="0" destOrd="0" presId="urn:microsoft.com/office/officeart/2005/8/layout/orgChart1"/>
    <dgm:cxn modelId="{5DF2B6A6-100F-4771-8FE9-2B89E4F50224}" type="presOf" srcId="{F3F3A4D1-A9DB-4E8F-AE84-88BF66F95170}" destId="{E6291FDD-8456-4E8B-B9C9-6410ED80A7D7}" srcOrd="0" destOrd="0" presId="urn:microsoft.com/office/officeart/2005/8/layout/orgChart1"/>
    <dgm:cxn modelId="{69FCE4B9-E56C-4436-8CEE-3F8DB6AAD9BC}" type="presOf" srcId="{E6F72638-0574-4A3B-A482-F90B06F7A749}" destId="{85B82688-CA0B-4502-B385-8F12145C7715}" srcOrd="0" destOrd="0" presId="urn:microsoft.com/office/officeart/2005/8/layout/orgChart1"/>
    <dgm:cxn modelId="{DC8590D6-D6A0-49AA-B056-B71F936657AF}" srcId="{E62C0FAE-4940-4B6F-AC80-13AAB69E87DE}" destId="{FE4B3E48-9C39-485F-A658-3FB41C51CE02}" srcOrd="0" destOrd="0" parTransId="{3B6D726E-00D8-408B-9217-B3E05B810832}" sibTransId="{F3CC01A2-9A4F-43D2-A680-0B39088CF2B0}"/>
    <dgm:cxn modelId="{A35C5BF5-780F-4E5B-BB56-BD8095BAFE3F}" type="presOf" srcId="{93BDB29D-D8AD-4BA5-94BB-EC81A8B1D96B}" destId="{F59F1136-65CD-472C-A4AE-87921833ACAB}" srcOrd="1" destOrd="0" presId="urn:microsoft.com/office/officeart/2005/8/layout/orgChart1"/>
    <dgm:cxn modelId="{A79932F7-EF85-47BC-BB9E-959B7CEB7F09}" type="presOf" srcId="{E62C0FAE-4940-4B6F-AC80-13AAB69E87DE}" destId="{8704FE33-740B-4807-B95B-E60699E1D341}" srcOrd="0" destOrd="0" presId="urn:microsoft.com/office/officeart/2005/8/layout/orgChart1"/>
    <dgm:cxn modelId="{402310FD-77E9-4A99-BE12-423F0073F555}" srcId="{9B51E033-A388-4C26-8058-7CA6C82F96BE}" destId="{93BDB29D-D8AD-4BA5-94BB-EC81A8B1D96B}" srcOrd="0" destOrd="0" parTransId="{F3F3A4D1-A9DB-4E8F-AE84-88BF66F95170}" sibTransId="{12EE7448-2CD0-4DA2-A6AA-3A2A26D9D424}"/>
    <dgm:cxn modelId="{770152EA-BA02-4F36-8DB9-F14D83EF2F74}" type="presParOf" srcId="{E3C57908-2CEB-4E5C-82EB-17A8C4D2D4D2}" destId="{F1A0EA40-32F5-4C76-8929-5213784A7AEA}" srcOrd="0" destOrd="0" presId="urn:microsoft.com/office/officeart/2005/8/layout/orgChart1"/>
    <dgm:cxn modelId="{4A714259-ADEB-4E11-84AD-29DAE2B92D8C}" type="presParOf" srcId="{F1A0EA40-32F5-4C76-8929-5213784A7AEA}" destId="{595CFF8B-3A05-46A0-B1B3-FB300AEE3D45}" srcOrd="0" destOrd="0" presId="urn:microsoft.com/office/officeart/2005/8/layout/orgChart1"/>
    <dgm:cxn modelId="{B0605AFA-3788-4187-A4A8-3347EB112DB8}" type="presParOf" srcId="{595CFF8B-3A05-46A0-B1B3-FB300AEE3D45}" destId="{8704FE33-740B-4807-B95B-E60699E1D341}" srcOrd="0" destOrd="0" presId="urn:microsoft.com/office/officeart/2005/8/layout/orgChart1"/>
    <dgm:cxn modelId="{F8323567-6E7D-4093-8DD1-15789226F903}" type="presParOf" srcId="{595CFF8B-3A05-46A0-B1B3-FB300AEE3D45}" destId="{1F6883A1-778C-481A-8E78-B546178F4A4E}" srcOrd="1" destOrd="0" presId="urn:microsoft.com/office/officeart/2005/8/layout/orgChart1"/>
    <dgm:cxn modelId="{EB0B0193-BE46-4343-845A-7860CFCCD207}" type="presParOf" srcId="{F1A0EA40-32F5-4C76-8929-5213784A7AEA}" destId="{EAE8B6A9-0DA2-4879-98F0-2344074C71DA}" srcOrd="1" destOrd="0" presId="urn:microsoft.com/office/officeart/2005/8/layout/orgChart1"/>
    <dgm:cxn modelId="{94B95BFE-AF73-4A08-B8B5-16A7861A18B9}" type="presParOf" srcId="{EAE8B6A9-0DA2-4879-98F0-2344074C71DA}" destId="{C33614AB-0562-4B32-8D37-468158B9BB16}" srcOrd="0" destOrd="0" presId="urn:microsoft.com/office/officeart/2005/8/layout/orgChart1"/>
    <dgm:cxn modelId="{842CA339-7FAE-4118-A015-77A4E2F0A242}" type="presParOf" srcId="{EAE8B6A9-0DA2-4879-98F0-2344074C71DA}" destId="{8847B1CF-1F52-48E6-8FB5-83908154FD16}" srcOrd="1" destOrd="0" presId="urn:microsoft.com/office/officeart/2005/8/layout/orgChart1"/>
    <dgm:cxn modelId="{12A09D21-A646-445C-BB56-86B47354232C}" type="presParOf" srcId="{8847B1CF-1F52-48E6-8FB5-83908154FD16}" destId="{743CBAEA-F1E1-437F-BE51-B0D11B220307}" srcOrd="0" destOrd="0" presId="urn:microsoft.com/office/officeart/2005/8/layout/orgChart1"/>
    <dgm:cxn modelId="{ED2CE698-F8A9-4CAB-83BC-FFE75E4DB51D}" type="presParOf" srcId="{743CBAEA-F1E1-437F-BE51-B0D11B220307}" destId="{B3C80F3A-DD87-4CA9-B9E7-092B825EB9ED}" srcOrd="0" destOrd="0" presId="urn:microsoft.com/office/officeart/2005/8/layout/orgChart1"/>
    <dgm:cxn modelId="{6ACC96CD-63E9-4FC4-90AF-FEE846B4987E}" type="presParOf" srcId="{743CBAEA-F1E1-437F-BE51-B0D11B220307}" destId="{D34325CA-5C86-4712-B7B9-46EDF0964A85}" srcOrd="1" destOrd="0" presId="urn:microsoft.com/office/officeart/2005/8/layout/orgChart1"/>
    <dgm:cxn modelId="{161E30EB-2DAA-4AFF-A297-625D1C07B585}" type="presParOf" srcId="{8847B1CF-1F52-48E6-8FB5-83908154FD16}" destId="{6039D62E-AB1D-4434-BEF1-291E18DD7003}" srcOrd="1" destOrd="0" presId="urn:microsoft.com/office/officeart/2005/8/layout/orgChart1"/>
    <dgm:cxn modelId="{A2F08B6B-5387-4F9B-8D4A-831970550981}" type="presParOf" srcId="{6039D62E-AB1D-4434-BEF1-291E18DD7003}" destId="{08AC8EE8-F106-4B59-A290-3B5B58386EC2}" srcOrd="0" destOrd="0" presId="urn:microsoft.com/office/officeart/2005/8/layout/orgChart1"/>
    <dgm:cxn modelId="{1CF8C9F4-80B7-4207-93B9-D86E3F083AC1}" type="presParOf" srcId="{6039D62E-AB1D-4434-BEF1-291E18DD7003}" destId="{DD764764-4F75-47F3-8257-F87B51A42C1A}" srcOrd="1" destOrd="0" presId="urn:microsoft.com/office/officeart/2005/8/layout/orgChart1"/>
    <dgm:cxn modelId="{6AAEDF29-87CD-4500-9B8F-6EA474849754}" type="presParOf" srcId="{DD764764-4F75-47F3-8257-F87B51A42C1A}" destId="{43AA7119-3A2C-4569-9536-36A12A32A04A}" srcOrd="0" destOrd="0" presId="urn:microsoft.com/office/officeart/2005/8/layout/orgChart1"/>
    <dgm:cxn modelId="{83F56075-D0EA-40C5-B32E-D06F03132A6C}" type="presParOf" srcId="{43AA7119-3A2C-4569-9536-36A12A32A04A}" destId="{14AEEEA9-C696-4511-A6CD-E60C69B5AEB3}" srcOrd="0" destOrd="0" presId="urn:microsoft.com/office/officeart/2005/8/layout/orgChart1"/>
    <dgm:cxn modelId="{C5F27056-1D19-4871-919A-8C0A388C3B41}" type="presParOf" srcId="{43AA7119-3A2C-4569-9536-36A12A32A04A}" destId="{233CEE3E-BAE6-4BE6-BBE9-4B19A142BE87}" srcOrd="1" destOrd="0" presId="urn:microsoft.com/office/officeart/2005/8/layout/orgChart1"/>
    <dgm:cxn modelId="{1D584AFE-0D5E-4DA3-92A6-1F3018335230}" type="presParOf" srcId="{DD764764-4F75-47F3-8257-F87B51A42C1A}" destId="{759385C3-8CC0-413C-8462-F63B7FC46BA5}" srcOrd="1" destOrd="0" presId="urn:microsoft.com/office/officeart/2005/8/layout/orgChart1"/>
    <dgm:cxn modelId="{206D844D-CF1C-4CD0-858F-8FB1C2A2EF7B}" type="presParOf" srcId="{DD764764-4F75-47F3-8257-F87B51A42C1A}" destId="{19292BD9-F226-48A3-A091-ABE26FC0D516}" srcOrd="2" destOrd="0" presId="urn:microsoft.com/office/officeart/2005/8/layout/orgChart1"/>
    <dgm:cxn modelId="{F11473DF-4EDA-448C-9311-4FC6B0664C92}" type="presParOf" srcId="{6039D62E-AB1D-4434-BEF1-291E18DD7003}" destId="{36D629B9-550C-4979-80D4-D2E9EB4C27FA}" srcOrd="2" destOrd="0" presId="urn:microsoft.com/office/officeart/2005/8/layout/orgChart1"/>
    <dgm:cxn modelId="{CBAF9EE6-A560-40A6-B2FB-8EBBE66718D6}" type="presParOf" srcId="{6039D62E-AB1D-4434-BEF1-291E18DD7003}" destId="{D83CC42E-7700-472A-AF2E-A5FCC54388D6}" srcOrd="3" destOrd="0" presId="urn:microsoft.com/office/officeart/2005/8/layout/orgChart1"/>
    <dgm:cxn modelId="{12F03511-81C3-406A-8C04-BA84947D742D}" type="presParOf" srcId="{D83CC42E-7700-472A-AF2E-A5FCC54388D6}" destId="{F062C013-01C3-46C3-B8FE-110E97A09CB2}" srcOrd="0" destOrd="0" presId="urn:microsoft.com/office/officeart/2005/8/layout/orgChart1"/>
    <dgm:cxn modelId="{C903DA23-A746-413E-B0FC-EC1AE0355099}" type="presParOf" srcId="{F062C013-01C3-46C3-B8FE-110E97A09CB2}" destId="{86A4CC45-8D55-43E8-9062-6CDDBD5A46B1}" srcOrd="0" destOrd="0" presId="urn:microsoft.com/office/officeart/2005/8/layout/orgChart1"/>
    <dgm:cxn modelId="{66AF7108-809C-43C6-9D7B-FE0EDB78EF2F}" type="presParOf" srcId="{F062C013-01C3-46C3-B8FE-110E97A09CB2}" destId="{B09AB7FA-DA6C-42F1-ABEA-514F07AB0AC8}" srcOrd="1" destOrd="0" presId="urn:microsoft.com/office/officeart/2005/8/layout/orgChart1"/>
    <dgm:cxn modelId="{FC7B3D9B-6132-4D48-9579-0CD3F0F0BC5D}" type="presParOf" srcId="{D83CC42E-7700-472A-AF2E-A5FCC54388D6}" destId="{BFE296DE-12ED-4CFF-BE3A-1EBEC5D99579}" srcOrd="1" destOrd="0" presId="urn:microsoft.com/office/officeart/2005/8/layout/orgChart1"/>
    <dgm:cxn modelId="{753D844F-EF57-4499-B16E-E6C4F1AA0E3F}" type="presParOf" srcId="{BFE296DE-12ED-4CFF-BE3A-1EBEC5D99579}" destId="{E6291FDD-8456-4E8B-B9C9-6410ED80A7D7}" srcOrd="0" destOrd="0" presId="urn:microsoft.com/office/officeart/2005/8/layout/orgChart1"/>
    <dgm:cxn modelId="{CA360441-D817-4696-AA82-B52906C84D31}" type="presParOf" srcId="{BFE296DE-12ED-4CFF-BE3A-1EBEC5D99579}" destId="{DA5971E3-42A1-4E8B-929B-5F589A9E0587}" srcOrd="1" destOrd="0" presId="urn:microsoft.com/office/officeart/2005/8/layout/orgChart1"/>
    <dgm:cxn modelId="{E98365EF-C012-44C4-840E-2F1BFAB4B2E0}" type="presParOf" srcId="{DA5971E3-42A1-4E8B-929B-5F589A9E0587}" destId="{04AB04A8-F5E1-4A51-9ED4-63C4F3499118}" srcOrd="0" destOrd="0" presId="urn:microsoft.com/office/officeart/2005/8/layout/orgChart1"/>
    <dgm:cxn modelId="{770BFB79-86DB-42B6-B3DD-0C8321952506}" type="presParOf" srcId="{04AB04A8-F5E1-4A51-9ED4-63C4F3499118}" destId="{95870E10-E0F7-4B85-8F4B-6A2BAB5E5B94}" srcOrd="0" destOrd="0" presId="urn:microsoft.com/office/officeart/2005/8/layout/orgChart1"/>
    <dgm:cxn modelId="{7057C37B-FC83-445F-A8C8-8FEB5AE93306}" type="presParOf" srcId="{04AB04A8-F5E1-4A51-9ED4-63C4F3499118}" destId="{F59F1136-65CD-472C-A4AE-87921833ACAB}" srcOrd="1" destOrd="0" presId="urn:microsoft.com/office/officeart/2005/8/layout/orgChart1"/>
    <dgm:cxn modelId="{8D30545D-3BFB-4A1B-A414-9AC36F2A2B8D}" type="presParOf" srcId="{DA5971E3-42A1-4E8B-929B-5F589A9E0587}" destId="{996F0E9D-4487-499B-91C3-44A1C6595959}" srcOrd="1" destOrd="0" presId="urn:microsoft.com/office/officeart/2005/8/layout/orgChart1"/>
    <dgm:cxn modelId="{2875961B-B266-4D57-8A63-75A98ADA7AA6}" type="presParOf" srcId="{996F0E9D-4487-499B-91C3-44A1C6595959}" destId="{85B82688-CA0B-4502-B385-8F12145C7715}" srcOrd="0" destOrd="0" presId="urn:microsoft.com/office/officeart/2005/8/layout/orgChart1"/>
    <dgm:cxn modelId="{DD2D45AF-6E66-4D41-A876-8823D14DA0EB}" type="presParOf" srcId="{996F0E9D-4487-499B-91C3-44A1C6595959}" destId="{DE5DE996-E958-4597-9D72-9D07115B882A}" srcOrd="1" destOrd="0" presId="urn:microsoft.com/office/officeart/2005/8/layout/orgChart1"/>
    <dgm:cxn modelId="{B547DF47-8185-4103-91CB-FC10AA00A5E8}" type="presParOf" srcId="{DE5DE996-E958-4597-9D72-9D07115B882A}" destId="{05ACAFD5-1218-43F4-89E8-C44DC847C8E6}" srcOrd="0" destOrd="0" presId="urn:microsoft.com/office/officeart/2005/8/layout/orgChart1"/>
    <dgm:cxn modelId="{EB68CB70-6864-4CDD-A020-760CD790C82F}" type="presParOf" srcId="{05ACAFD5-1218-43F4-89E8-C44DC847C8E6}" destId="{B84FFB5D-473D-4BB3-9E93-C458212EE370}" srcOrd="0" destOrd="0" presId="urn:microsoft.com/office/officeart/2005/8/layout/orgChart1"/>
    <dgm:cxn modelId="{204AD197-8E5E-4F04-AAAD-0E25E8E52ED2}" type="presParOf" srcId="{05ACAFD5-1218-43F4-89E8-C44DC847C8E6}" destId="{B674C11A-A125-46FC-90DC-6D11F1CF81F1}" srcOrd="1" destOrd="0" presId="urn:microsoft.com/office/officeart/2005/8/layout/orgChart1"/>
    <dgm:cxn modelId="{F9810B3F-F695-4B8B-912C-BC788C8E399C}" type="presParOf" srcId="{DE5DE996-E958-4597-9D72-9D07115B882A}" destId="{03560639-8951-4223-8268-F2DB5ACDE517}" srcOrd="1" destOrd="0" presId="urn:microsoft.com/office/officeart/2005/8/layout/orgChart1"/>
    <dgm:cxn modelId="{F20CE328-4C51-4B7F-8565-454646B473A3}" type="presParOf" srcId="{DE5DE996-E958-4597-9D72-9D07115B882A}" destId="{4DD15D0D-FB97-4E44-8D10-A0F5FDCE48CF}" srcOrd="2" destOrd="0" presId="urn:microsoft.com/office/officeart/2005/8/layout/orgChart1"/>
    <dgm:cxn modelId="{F0BC8EF8-5A21-4F47-8FBC-741730F4FAB4}" type="presParOf" srcId="{DA5971E3-42A1-4E8B-929B-5F589A9E0587}" destId="{3D4C2713-C3DE-4064-ABFD-1B83EAD62A1D}" srcOrd="2" destOrd="0" presId="urn:microsoft.com/office/officeart/2005/8/layout/orgChart1"/>
    <dgm:cxn modelId="{FDC25B46-73D1-4072-B0BC-08035F745F63}" type="presParOf" srcId="{D83CC42E-7700-472A-AF2E-A5FCC54388D6}" destId="{74BAEE48-723E-4EB5-8011-696C365BAF17}" srcOrd="2" destOrd="0" presId="urn:microsoft.com/office/officeart/2005/8/layout/orgChart1"/>
    <dgm:cxn modelId="{51629495-2DAF-412B-9BE9-B3674242DB58}" type="presParOf" srcId="{8847B1CF-1F52-48E6-8FB5-83908154FD16}" destId="{B52C4DEB-3469-4DA2-B789-349B69431640}" srcOrd="2" destOrd="0" presId="urn:microsoft.com/office/officeart/2005/8/layout/orgChart1"/>
    <dgm:cxn modelId="{7EDCD816-873B-4C64-BCD3-8510C097B12D}" type="presParOf" srcId="{F1A0EA40-32F5-4C76-8929-5213784A7AEA}" destId="{02F0D069-0FDB-4F3A-A67E-D01B305B48D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B82688-CA0B-4502-B385-8F12145C7715}">
      <dsp:nvSpPr>
        <dsp:cNvPr id="0" name=""/>
        <dsp:cNvSpPr/>
      </dsp:nvSpPr>
      <dsp:spPr>
        <a:xfrm>
          <a:off x="3034789" y="5563439"/>
          <a:ext cx="316940" cy="1459889"/>
        </a:xfrm>
        <a:custGeom>
          <a:avLst/>
          <a:gdLst/>
          <a:ahLst/>
          <a:cxnLst/>
          <a:rect l="0" t="0" r="0" b="0"/>
          <a:pathLst>
            <a:path>
              <a:moveTo>
                <a:pt x="0" y="0"/>
              </a:moveTo>
              <a:lnTo>
                <a:pt x="0" y="1459889"/>
              </a:lnTo>
              <a:lnTo>
                <a:pt x="316940" y="1459889"/>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291FDD-8456-4E8B-B9C9-6410ED80A7D7}">
      <dsp:nvSpPr>
        <dsp:cNvPr id="0" name=""/>
        <dsp:cNvSpPr/>
      </dsp:nvSpPr>
      <dsp:spPr>
        <a:xfrm>
          <a:off x="3834243" y="4063256"/>
          <a:ext cx="91440" cy="443716"/>
        </a:xfrm>
        <a:custGeom>
          <a:avLst/>
          <a:gdLst/>
          <a:ahLst/>
          <a:cxnLst/>
          <a:rect l="0" t="0" r="0" b="0"/>
          <a:pathLst>
            <a:path>
              <a:moveTo>
                <a:pt x="45720" y="0"/>
              </a:moveTo>
              <a:lnTo>
                <a:pt x="45720" y="443716"/>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D629B9-550C-4979-80D4-D2E9EB4C27FA}">
      <dsp:nvSpPr>
        <dsp:cNvPr id="0" name=""/>
        <dsp:cNvSpPr/>
      </dsp:nvSpPr>
      <dsp:spPr>
        <a:xfrm>
          <a:off x="2601638" y="2563072"/>
          <a:ext cx="1278325" cy="443716"/>
        </a:xfrm>
        <a:custGeom>
          <a:avLst/>
          <a:gdLst/>
          <a:ahLst/>
          <a:cxnLst/>
          <a:rect l="0" t="0" r="0" b="0"/>
          <a:pathLst>
            <a:path>
              <a:moveTo>
                <a:pt x="0" y="0"/>
              </a:moveTo>
              <a:lnTo>
                <a:pt x="0" y="221858"/>
              </a:lnTo>
              <a:lnTo>
                <a:pt x="1278325" y="221858"/>
              </a:lnTo>
              <a:lnTo>
                <a:pt x="1278325" y="443716"/>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AC8EE8-F106-4B59-A290-3B5B58386EC2}">
      <dsp:nvSpPr>
        <dsp:cNvPr id="0" name=""/>
        <dsp:cNvSpPr/>
      </dsp:nvSpPr>
      <dsp:spPr>
        <a:xfrm>
          <a:off x="1323312" y="2563072"/>
          <a:ext cx="1278325" cy="443716"/>
        </a:xfrm>
        <a:custGeom>
          <a:avLst/>
          <a:gdLst/>
          <a:ahLst/>
          <a:cxnLst/>
          <a:rect l="0" t="0" r="0" b="0"/>
          <a:pathLst>
            <a:path>
              <a:moveTo>
                <a:pt x="1278325" y="0"/>
              </a:moveTo>
              <a:lnTo>
                <a:pt x="1278325" y="221858"/>
              </a:lnTo>
              <a:lnTo>
                <a:pt x="0" y="221858"/>
              </a:lnTo>
              <a:lnTo>
                <a:pt x="0" y="443716"/>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3614AB-0562-4B32-8D37-468158B9BB16}">
      <dsp:nvSpPr>
        <dsp:cNvPr id="0" name=""/>
        <dsp:cNvSpPr/>
      </dsp:nvSpPr>
      <dsp:spPr>
        <a:xfrm>
          <a:off x="2555918" y="1062889"/>
          <a:ext cx="91440" cy="443716"/>
        </a:xfrm>
        <a:custGeom>
          <a:avLst/>
          <a:gdLst/>
          <a:ahLst/>
          <a:cxnLst/>
          <a:rect l="0" t="0" r="0" b="0"/>
          <a:pathLst>
            <a:path>
              <a:moveTo>
                <a:pt x="45720" y="0"/>
              </a:moveTo>
              <a:lnTo>
                <a:pt x="45720" y="44371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04FE33-740B-4807-B95B-E60699E1D341}">
      <dsp:nvSpPr>
        <dsp:cNvPr id="0" name=""/>
        <dsp:cNvSpPr/>
      </dsp:nvSpPr>
      <dsp:spPr>
        <a:xfrm>
          <a:off x="1545170" y="6421"/>
          <a:ext cx="2112934" cy="105646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Times New Roman" panose="02020603050405020304" pitchFamily="18" charset="0"/>
              <a:cs typeface="Times New Roman" panose="02020603050405020304" pitchFamily="18" charset="0"/>
            </a:rPr>
            <a:t>Total number of articles identified after using our search terms (n = 608)</a:t>
          </a:r>
        </a:p>
      </dsp:txBody>
      <dsp:txXfrm>
        <a:off x="1545170" y="6421"/>
        <a:ext cx="2112934" cy="1056467"/>
      </dsp:txXfrm>
    </dsp:sp>
    <dsp:sp modelId="{B3C80F3A-DD87-4CA9-B9E7-092B825EB9ED}">
      <dsp:nvSpPr>
        <dsp:cNvPr id="0" name=""/>
        <dsp:cNvSpPr/>
      </dsp:nvSpPr>
      <dsp:spPr>
        <a:xfrm>
          <a:off x="1545170" y="1506605"/>
          <a:ext cx="2112934" cy="105646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Times New Roman" panose="02020603050405020304" pitchFamily="18" charset="0"/>
              <a:cs typeface="Times New Roman" panose="02020603050405020304" pitchFamily="18" charset="0"/>
            </a:rPr>
            <a:t>Total number of studies that had relevance to biodiversity offset markets (n = 219)</a:t>
          </a:r>
        </a:p>
      </dsp:txBody>
      <dsp:txXfrm>
        <a:off x="1545170" y="1506605"/>
        <a:ext cx="2112934" cy="1056467"/>
      </dsp:txXfrm>
    </dsp:sp>
    <dsp:sp modelId="{14AEEEA9-C696-4511-A6CD-E60C69B5AEB3}">
      <dsp:nvSpPr>
        <dsp:cNvPr id="0" name=""/>
        <dsp:cNvSpPr/>
      </dsp:nvSpPr>
      <dsp:spPr>
        <a:xfrm>
          <a:off x="266845" y="3006788"/>
          <a:ext cx="2112934" cy="150044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Articles (n = 148) were excluded because there was no mention of biodiversity offset markets, or articles focussed purely on restoration success of banks with no modelling of incentives or the financial aspect. Studies of carbon markets or payment for ecosystem services markers (PES) were also excluded</a:t>
          </a:r>
          <a:endParaRPr lang="en-GB" sz="1100" kern="1200" dirty="0">
            <a:latin typeface="Times New Roman" panose="02020603050405020304" pitchFamily="18" charset="0"/>
            <a:cs typeface="Times New Roman" panose="02020603050405020304" pitchFamily="18" charset="0"/>
          </a:endParaRPr>
        </a:p>
      </dsp:txBody>
      <dsp:txXfrm>
        <a:off x="266845" y="3006788"/>
        <a:ext cx="2112934" cy="1500447"/>
      </dsp:txXfrm>
    </dsp:sp>
    <dsp:sp modelId="{86A4CC45-8D55-43E8-9062-6CDDBD5A46B1}">
      <dsp:nvSpPr>
        <dsp:cNvPr id="0" name=""/>
        <dsp:cNvSpPr/>
      </dsp:nvSpPr>
      <dsp:spPr>
        <a:xfrm>
          <a:off x="2823496" y="3006788"/>
          <a:ext cx="2112934" cy="105646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Articles selected after removal of duplicates, commentaries, books and book chapters </a:t>
          </a:r>
          <a:r>
            <a:rPr lang="en-GB" sz="1100" kern="1200" dirty="0">
              <a:latin typeface="Times New Roman" panose="02020603050405020304" pitchFamily="18" charset="0"/>
              <a:cs typeface="Times New Roman" panose="02020603050405020304" pitchFamily="18" charset="0"/>
            </a:rPr>
            <a:t>(n = 71)</a:t>
          </a:r>
        </a:p>
      </dsp:txBody>
      <dsp:txXfrm>
        <a:off x="2823496" y="3006788"/>
        <a:ext cx="2112934" cy="1056467"/>
      </dsp:txXfrm>
    </dsp:sp>
    <dsp:sp modelId="{95870E10-E0F7-4B85-8F4B-6A2BAB5E5B94}">
      <dsp:nvSpPr>
        <dsp:cNvPr id="0" name=""/>
        <dsp:cNvSpPr/>
      </dsp:nvSpPr>
      <dsp:spPr>
        <a:xfrm>
          <a:off x="2823496" y="4506972"/>
          <a:ext cx="2112934" cy="105646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Full-text screening and number of empirical studies included in our review (n = 42)</a:t>
          </a:r>
        </a:p>
      </dsp:txBody>
      <dsp:txXfrm>
        <a:off x="2823496" y="4506972"/>
        <a:ext cx="2112934" cy="1056467"/>
      </dsp:txXfrm>
    </dsp:sp>
    <dsp:sp modelId="{B84FFB5D-473D-4BB3-9E93-C458212EE370}">
      <dsp:nvSpPr>
        <dsp:cNvPr id="0" name=""/>
        <dsp:cNvSpPr/>
      </dsp:nvSpPr>
      <dsp:spPr>
        <a:xfrm>
          <a:off x="3351729" y="6007155"/>
          <a:ext cx="2112934" cy="203234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Full text articles were excluded because:</a:t>
          </a:r>
        </a:p>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They did not include any secondary or primary data </a:t>
          </a:r>
        </a:p>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Did not mention payments or incentives for landowners </a:t>
          </a:r>
        </a:p>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Focused primarily on the ecological outcomes of biodiversity offset markets with no reference to the economic outcomes and/or incentives</a:t>
          </a:r>
          <a:endParaRPr lang="en-GB" sz="1100" kern="1200">
            <a:latin typeface="Times New Roman" panose="02020603050405020304" pitchFamily="18" charset="0"/>
            <a:cs typeface="Times New Roman" panose="02020603050405020304" pitchFamily="18" charset="0"/>
          </a:endParaRPr>
        </a:p>
      </dsp:txBody>
      <dsp:txXfrm>
        <a:off x="3351729" y="6007155"/>
        <a:ext cx="2112934" cy="20323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2B3EE-AECB-47E3-AD1B-A5EC5E9A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12854</Words>
  <Characters>73273</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Nthambi</dc:creator>
  <cp:keywords/>
  <dc:description/>
  <cp:lastModifiedBy>Katherine Simpson</cp:lastModifiedBy>
  <cp:revision>2</cp:revision>
  <cp:lastPrinted>2022-06-16T13:15:00Z</cp:lastPrinted>
  <dcterms:created xsi:type="dcterms:W3CDTF">2024-11-27T07:41:00Z</dcterms:created>
  <dcterms:modified xsi:type="dcterms:W3CDTF">2024-11-27T07:41:00Z</dcterms:modified>
</cp:coreProperties>
</file>