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719A4" w14:textId="77777777" w:rsidR="005C6BA5" w:rsidRPr="00D04EEA" w:rsidRDefault="005C6BA5" w:rsidP="006D794B">
      <w:pPr>
        <w:jc w:val="both"/>
        <w:rPr>
          <w:rFonts w:ascii="Arial" w:hAnsi="Arial" w:cs="Arial"/>
          <w:b/>
          <w:bCs/>
          <w:caps/>
          <w:sz w:val="24"/>
          <w:szCs w:val="24"/>
        </w:rPr>
      </w:pPr>
      <w:r w:rsidRPr="00D04EEA">
        <w:rPr>
          <w:rFonts w:ascii="Arial" w:hAnsi="Arial" w:cs="Arial"/>
          <w:b/>
          <w:bCs/>
          <w:caps/>
          <w:sz w:val="24"/>
          <w:szCs w:val="24"/>
        </w:rPr>
        <w:t xml:space="preserve">    </w:t>
      </w:r>
      <w:r w:rsidR="00A95214" w:rsidRPr="00D04EEA">
        <w:rPr>
          <w:rFonts w:ascii="Arial" w:hAnsi="Arial" w:cs="Arial"/>
          <w:b/>
          <w:bCs/>
          <w:caps/>
          <w:noProof/>
          <w:sz w:val="24"/>
          <w:szCs w:val="24"/>
        </w:rPr>
        <w:drawing>
          <wp:inline distT="0" distB="0" distL="0" distR="0" wp14:anchorId="65B0A85D" wp14:editId="4537E4E1">
            <wp:extent cx="18243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inline>
        </w:drawing>
      </w:r>
    </w:p>
    <w:p w14:paraId="355F7DD9" w14:textId="5FA59FE7" w:rsidR="005C6BA5" w:rsidRPr="00B86A9B" w:rsidRDefault="005C6BA5" w:rsidP="00E14980">
      <w:pPr>
        <w:keepNext/>
        <w:spacing w:after="120"/>
        <w:jc w:val="center"/>
        <w:rPr>
          <w:rFonts w:ascii="Arial" w:hAnsi="Arial" w:cs="Arial"/>
          <w:b/>
          <w:bCs/>
          <w:sz w:val="28"/>
          <w:szCs w:val="28"/>
        </w:rPr>
      </w:pPr>
      <w:r w:rsidRPr="00B86A9B">
        <w:rPr>
          <w:rFonts w:ascii="Arial" w:hAnsi="Arial" w:cs="Arial"/>
          <w:b/>
          <w:bCs/>
          <w:sz w:val="28"/>
          <w:szCs w:val="28"/>
        </w:rPr>
        <w:t>Court</w:t>
      </w:r>
    </w:p>
    <w:p w14:paraId="095E0DCE" w14:textId="2FB1AE80" w:rsidR="00C22DF6" w:rsidRPr="00B86A9B" w:rsidRDefault="005C6BA5" w:rsidP="00C22DF6">
      <w:pPr>
        <w:keepNext/>
        <w:spacing w:before="240" w:after="120"/>
        <w:jc w:val="center"/>
        <w:rPr>
          <w:rFonts w:ascii="Arial" w:hAnsi="Arial" w:cs="Arial"/>
          <w:b/>
          <w:bCs/>
          <w:sz w:val="28"/>
          <w:szCs w:val="28"/>
        </w:rPr>
      </w:pPr>
      <w:r w:rsidRPr="00B86A9B">
        <w:rPr>
          <w:rFonts w:ascii="Arial" w:hAnsi="Arial" w:cs="Arial"/>
          <w:b/>
          <w:bCs/>
          <w:sz w:val="28"/>
          <w:szCs w:val="28"/>
        </w:rPr>
        <w:t>Minute of Meeting held on</w:t>
      </w:r>
      <w:r w:rsidR="00E6640B">
        <w:rPr>
          <w:rFonts w:ascii="Arial" w:hAnsi="Arial" w:cs="Arial"/>
          <w:b/>
          <w:bCs/>
          <w:sz w:val="28"/>
          <w:szCs w:val="28"/>
        </w:rPr>
        <w:t xml:space="preserve"> </w:t>
      </w:r>
      <w:r w:rsidR="002C0502">
        <w:rPr>
          <w:rFonts w:ascii="Arial" w:hAnsi="Arial" w:cs="Arial"/>
          <w:b/>
          <w:bCs/>
          <w:sz w:val="28"/>
          <w:szCs w:val="28"/>
        </w:rPr>
        <w:t xml:space="preserve">Wednesday 25 September </w:t>
      </w:r>
      <w:r w:rsidR="00515226" w:rsidRPr="00B86A9B">
        <w:rPr>
          <w:rFonts w:ascii="Arial" w:hAnsi="Arial" w:cs="Arial"/>
          <w:b/>
          <w:bCs/>
          <w:sz w:val="28"/>
          <w:szCs w:val="28"/>
        </w:rPr>
        <w:t>202</w:t>
      </w:r>
      <w:r w:rsidR="00E6640B">
        <w:rPr>
          <w:rFonts w:ascii="Arial" w:hAnsi="Arial" w:cs="Arial"/>
          <w:b/>
          <w:bCs/>
          <w:sz w:val="28"/>
          <w:szCs w:val="28"/>
        </w:rPr>
        <w:t xml:space="preserve">4 </w:t>
      </w:r>
      <w:r w:rsidR="00C22DF6">
        <w:rPr>
          <w:rFonts w:ascii="Arial" w:hAnsi="Arial" w:cs="Arial"/>
          <w:b/>
          <w:bCs/>
          <w:sz w:val="28"/>
          <w:szCs w:val="28"/>
        </w:rPr>
        <w:t xml:space="preserve">held </w:t>
      </w:r>
      <w:r w:rsidR="002C0502">
        <w:rPr>
          <w:rFonts w:ascii="Arial" w:hAnsi="Arial" w:cs="Arial"/>
          <w:b/>
          <w:bCs/>
          <w:sz w:val="28"/>
          <w:szCs w:val="28"/>
        </w:rPr>
        <w:t xml:space="preserve">in the Senate Room and </w:t>
      </w:r>
      <w:r w:rsidR="009A45D9">
        <w:rPr>
          <w:rFonts w:ascii="Arial" w:hAnsi="Arial" w:cs="Arial"/>
          <w:b/>
          <w:bCs/>
          <w:sz w:val="28"/>
          <w:szCs w:val="28"/>
        </w:rPr>
        <w:t>via Zoom</w:t>
      </w:r>
    </w:p>
    <w:p w14:paraId="5F28B68E" w14:textId="77777777" w:rsidR="004F5009" w:rsidRDefault="004F5009" w:rsidP="003F1095">
      <w:pPr>
        <w:jc w:val="both"/>
        <w:rPr>
          <w:rFonts w:ascii="Arial" w:eastAsiaTheme="minorEastAsia" w:hAnsi="Arial" w:cs="Arial"/>
          <w:b/>
          <w:bCs/>
          <w:sz w:val="22"/>
          <w:szCs w:val="22"/>
        </w:rPr>
      </w:pPr>
    </w:p>
    <w:p w14:paraId="37F04352" w14:textId="77777777" w:rsidR="004006F0" w:rsidRPr="00B86A9B" w:rsidRDefault="004006F0" w:rsidP="003F1095">
      <w:pPr>
        <w:jc w:val="both"/>
        <w:rPr>
          <w:rFonts w:ascii="Arial" w:eastAsiaTheme="minorEastAsia" w:hAnsi="Arial" w:cs="Arial"/>
          <w:b/>
          <w:bCs/>
          <w:sz w:val="22"/>
          <w:szCs w:val="22"/>
        </w:rPr>
      </w:pPr>
    </w:p>
    <w:p w14:paraId="1753838C" w14:textId="77777777" w:rsidR="005C6BA5" w:rsidRPr="00B86A9B" w:rsidRDefault="005C6BA5" w:rsidP="003F1095">
      <w:pPr>
        <w:jc w:val="both"/>
        <w:rPr>
          <w:rFonts w:ascii="Arial" w:eastAsiaTheme="minorEastAsia" w:hAnsi="Arial" w:cs="Arial"/>
          <w:b/>
          <w:bCs/>
          <w:sz w:val="22"/>
          <w:szCs w:val="22"/>
        </w:rPr>
      </w:pPr>
      <w:r w:rsidRPr="00B86A9B">
        <w:rPr>
          <w:rFonts w:ascii="Arial" w:eastAsiaTheme="minorEastAsia" w:hAnsi="Arial" w:cs="Arial"/>
          <w:b/>
          <w:bCs/>
          <w:sz w:val="22"/>
          <w:szCs w:val="22"/>
        </w:rPr>
        <w:t>Present:</w:t>
      </w:r>
    </w:p>
    <w:p w14:paraId="79EA54C4" w14:textId="0369B05A" w:rsidR="00D37D2B" w:rsidRPr="008A18A1" w:rsidRDefault="00E6640B" w:rsidP="00E6640B">
      <w:pPr>
        <w:spacing w:after="120"/>
        <w:jc w:val="both"/>
        <w:rPr>
          <w:rFonts w:ascii="Arial" w:hAnsi="Arial" w:cs="Arial"/>
          <w:b/>
          <w:bCs/>
          <w:sz w:val="22"/>
          <w:szCs w:val="22"/>
        </w:rPr>
      </w:pPr>
      <w:bookmarkStart w:id="0" w:name="_Hlk80804069"/>
      <w:r>
        <w:rPr>
          <w:rFonts w:ascii="Arial" w:eastAsiaTheme="minorEastAsia" w:hAnsi="Arial" w:cs="Arial"/>
          <w:sz w:val="22"/>
          <w:szCs w:val="22"/>
        </w:rPr>
        <w:t xml:space="preserve">Gavin Stewart </w:t>
      </w:r>
      <w:r w:rsidR="00C241BE" w:rsidRPr="00B86A9B">
        <w:rPr>
          <w:rFonts w:ascii="Arial" w:eastAsiaTheme="minorEastAsia" w:hAnsi="Arial" w:cs="Arial"/>
          <w:sz w:val="22"/>
          <w:szCs w:val="22"/>
        </w:rPr>
        <w:t>Co-opted Member (Convener of Court),</w:t>
      </w:r>
      <w:r w:rsidR="00FE11DC" w:rsidRPr="00B86A9B">
        <w:rPr>
          <w:rFonts w:ascii="Arial" w:hAnsi="Arial" w:cs="Arial"/>
          <w:sz w:val="22"/>
          <w:szCs w:val="22"/>
        </w:rPr>
        <w:t xml:space="preserve"> </w:t>
      </w:r>
      <w:r w:rsidR="002C0502" w:rsidRPr="00B86A9B">
        <w:rPr>
          <w:rFonts w:ascii="Arial" w:hAnsi="Arial" w:cs="Arial"/>
          <w:sz w:val="22"/>
          <w:szCs w:val="22"/>
        </w:rPr>
        <w:t xml:space="preserve">Cllr Susan Aitken </w:t>
      </w:r>
      <w:r w:rsidR="002C0502">
        <w:rPr>
          <w:rFonts w:ascii="Arial" w:hAnsi="Arial" w:cs="Arial"/>
          <w:sz w:val="22"/>
          <w:szCs w:val="22"/>
        </w:rPr>
        <w:t>(</w:t>
      </w:r>
      <w:r w:rsidR="002C0502" w:rsidRPr="00B86A9B">
        <w:rPr>
          <w:rFonts w:ascii="Arial" w:hAnsi="Arial" w:cs="Arial"/>
          <w:sz w:val="22"/>
          <w:szCs w:val="22"/>
        </w:rPr>
        <w:t>Glasgow City Council Assessor</w:t>
      </w:r>
      <w:r w:rsidR="002C0502">
        <w:rPr>
          <w:rFonts w:ascii="Arial" w:hAnsi="Arial" w:cs="Arial"/>
          <w:sz w:val="22"/>
          <w:szCs w:val="22"/>
        </w:rPr>
        <w:t>),</w:t>
      </w:r>
      <w:r w:rsidR="003D3CC0">
        <w:rPr>
          <w:rFonts w:ascii="Arial" w:eastAsiaTheme="minorEastAsia" w:hAnsi="Arial" w:cs="Arial"/>
          <w:sz w:val="22"/>
          <w:szCs w:val="22"/>
        </w:rPr>
        <w:t>Professor Sarah Armstrong (</w:t>
      </w:r>
      <w:r w:rsidR="003D3CC0" w:rsidRPr="00B86A9B">
        <w:rPr>
          <w:rFonts w:ascii="Arial" w:hAnsi="Arial" w:cs="Arial"/>
          <w:sz w:val="22"/>
          <w:szCs w:val="22"/>
        </w:rPr>
        <w:t>Elected Academic Staff Member</w:t>
      </w:r>
      <w:r w:rsidR="003D3CC0">
        <w:rPr>
          <w:rFonts w:ascii="Arial" w:eastAsiaTheme="minorEastAsia" w:hAnsi="Arial" w:cs="Arial"/>
          <w:sz w:val="22"/>
          <w:szCs w:val="22"/>
        </w:rPr>
        <w:t xml:space="preserve">), </w:t>
      </w:r>
      <w:r>
        <w:rPr>
          <w:rFonts w:ascii="Arial" w:eastAsiaTheme="minorEastAsia" w:hAnsi="Arial" w:cs="Arial"/>
          <w:sz w:val="22"/>
          <w:szCs w:val="22"/>
        </w:rPr>
        <w:t>Professor Tara Brendle (</w:t>
      </w:r>
      <w:r w:rsidRPr="00B86A9B">
        <w:rPr>
          <w:rFonts w:ascii="Arial" w:hAnsi="Arial" w:cs="Arial"/>
          <w:sz w:val="22"/>
          <w:szCs w:val="22"/>
        </w:rPr>
        <w:t>Elected Academic Staff Member</w:t>
      </w:r>
      <w:r>
        <w:rPr>
          <w:rFonts w:ascii="Arial" w:eastAsiaTheme="minorEastAsia" w:hAnsi="Arial" w:cs="Arial"/>
          <w:sz w:val="22"/>
          <w:szCs w:val="22"/>
        </w:rPr>
        <w:t xml:space="preserve">), </w:t>
      </w:r>
      <w:r w:rsidR="00451546">
        <w:rPr>
          <w:rFonts w:ascii="Arial" w:eastAsiaTheme="minorEastAsia" w:hAnsi="Arial" w:cs="Arial"/>
          <w:sz w:val="22"/>
          <w:szCs w:val="22"/>
        </w:rPr>
        <w:t>Professor Nicola Dandridge (</w:t>
      </w:r>
      <w:r w:rsidR="00451546" w:rsidRPr="00B86A9B">
        <w:rPr>
          <w:rFonts w:ascii="Arial" w:hAnsi="Arial" w:cs="Arial"/>
          <w:sz w:val="22"/>
          <w:szCs w:val="22"/>
        </w:rPr>
        <w:t>Co-opted Member</w:t>
      </w:r>
      <w:r w:rsidR="00451546">
        <w:rPr>
          <w:rFonts w:ascii="Arial" w:hAnsi="Arial" w:cs="Arial"/>
          <w:sz w:val="22"/>
          <w:szCs w:val="22"/>
        </w:rPr>
        <w:t>)</w:t>
      </w:r>
      <w:r w:rsidR="00451546" w:rsidRPr="00B86A9B">
        <w:rPr>
          <w:rFonts w:ascii="Arial" w:hAnsi="Arial" w:cs="Arial"/>
          <w:sz w:val="22"/>
          <w:szCs w:val="22"/>
        </w:rPr>
        <w:t xml:space="preserve">, </w:t>
      </w:r>
      <w:r>
        <w:rPr>
          <w:rFonts w:asciiTheme="minorBidi" w:hAnsiTheme="minorBidi" w:cstheme="minorBidi"/>
          <w:sz w:val="22"/>
          <w:szCs w:val="22"/>
        </w:rPr>
        <w:t xml:space="preserve">Kerry Christie (Co-opted member), </w:t>
      </w:r>
      <w:r w:rsidR="00ED4F47" w:rsidRPr="00B86A9B">
        <w:rPr>
          <w:rFonts w:ascii="Arial" w:hAnsi="Arial" w:cs="Arial"/>
          <w:sz w:val="22"/>
          <w:szCs w:val="22"/>
        </w:rPr>
        <w:t xml:space="preserve">Mr David Finlayson </w:t>
      </w:r>
      <w:r w:rsidR="00C241BE">
        <w:rPr>
          <w:rFonts w:ascii="Arial" w:hAnsi="Arial" w:cs="Arial"/>
          <w:sz w:val="22"/>
          <w:szCs w:val="22"/>
        </w:rPr>
        <w:t>(</w:t>
      </w:r>
      <w:r w:rsidR="00ED4F47" w:rsidRPr="00B86A9B">
        <w:rPr>
          <w:rFonts w:ascii="Arial" w:hAnsi="Arial" w:cs="Arial"/>
          <w:sz w:val="22"/>
          <w:szCs w:val="22"/>
        </w:rPr>
        <w:t>Co-opted Member</w:t>
      </w:r>
      <w:r w:rsidR="00C241BE">
        <w:rPr>
          <w:rFonts w:ascii="Arial" w:hAnsi="Arial" w:cs="Arial"/>
          <w:sz w:val="22"/>
          <w:szCs w:val="22"/>
        </w:rPr>
        <w:t>)</w:t>
      </w:r>
      <w:r w:rsidR="00ED4F47" w:rsidRPr="00B86A9B">
        <w:rPr>
          <w:rFonts w:ascii="Arial" w:hAnsi="Arial" w:cs="Arial"/>
          <w:sz w:val="22"/>
          <w:szCs w:val="22"/>
        </w:rPr>
        <w:t xml:space="preserve">, </w:t>
      </w:r>
      <w:r w:rsidR="00451546">
        <w:rPr>
          <w:rFonts w:ascii="Arial" w:hAnsi="Arial" w:cs="Arial"/>
          <w:sz w:val="22"/>
          <w:szCs w:val="22"/>
        </w:rPr>
        <w:t>Stuart Hoggan (</w:t>
      </w:r>
      <w:r w:rsidR="00451546" w:rsidRPr="0008439D">
        <w:rPr>
          <w:rFonts w:ascii="Arial" w:eastAsiaTheme="minorEastAsia" w:hAnsi="Arial" w:cs="Arial"/>
          <w:sz w:val="22"/>
          <w:szCs w:val="22"/>
        </w:rPr>
        <w:t>General Council Assessor</w:t>
      </w:r>
      <w:r w:rsidR="00451546">
        <w:rPr>
          <w:rFonts w:ascii="Arial" w:eastAsiaTheme="minorEastAsia" w:hAnsi="Arial" w:cs="Arial"/>
          <w:sz w:val="22"/>
          <w:szCs w:val="22"/>
        </w:rPr>
        <w:t xml:space="preserve">), </w:t>
      </w:r>
      <w:r w:rsidR="003D3CC0">
        <w:rPr>
          <w:rFonts w:ascii="Arial" w:eastAsiaTheme="minorEastAsia" w:hAnsi="Arial" w:cs="Arial"/>
          <w:sz w:val="22"/>
          <w:szCs w:val="22"/>
        </w:rPr>
        <w:t xml:space="preserve">Dr Bo Hu (Chancellor’s Assessor), </w:t>
      </w:r>
      <w:r w:rsidR="003D3CC0" w:rsidRPr="00B86A9B">
        <w:rPr>
          <w:rFonts w:ascii="Arial" w:hAnsi="Arial" w:cs="Arial"/>
          <w:sz w:val="22"/>
          <w:szCs w:val="22"/>
        </w:rPr>
        <w:t xml:space="preserve">Mr Christopher Kennedy </w:t>
      </w:r>
      <w:r w:rsidR="003D3CC0">
        <w:rPr>
          <w:rFonts w:ascii="Arial" w:hAnsi="Arial" w:cs="Arial"/>
          <w:sz w:val="22"/>
          <w:szCs w:val="22"/>
        </w:rPr>
        <w:t>(</w:t>
      </w:r>
      <w:r w:rsidR="003D3CC0" w:rsidRPr="00B86A9B">
        <w:rPr>
          <w:rFonts w:ascii="Arial" w:hAnsi="Arial" w:cs="Arial"/>
          <w:sz w:val="22"/>
          <w:szCs w:val="22"/>
        </w:rPr>
        <w:t>Elected Professional Services Representative</w:t>
      </w:r>
      <w:r w:rsidR="003D3CC0">
        <w:rPr>
          <w:rFonts w:ascii="Arial" w:hAnsi="Arial" w:cs="Arial"/>
          <w:sz w:val="22"/>
          <w:szCs w:val="22"/>
        </w:rPr>
        <w:t>)</w:t>
      </w:r>
      <w:r w:rsidR="003D3CC0" w:rsidRPr="00B86A9B">
        <w:rPr>
          <w:rFonts w:ascii="Arial" w:hAnsi="Arial" w:cs="Arial"/>
          <w:sz w:val="22"/>
          <w:szCs w:val="22"/>
        </w:rPr>
        <w:t>,</w:t>
      </w:r>
      <w:r>
        <w:rPr>
          <w:rFonts w:ascii="Arial" w:hAnsi="Arial" w:cs="Arial"/>
          <w:sz w:val="22"/>
          <w:szCs w:val="22"/>
        </w:rPr>
        <w:t xml:space="preserve"> </w:t>
      </w:r>
      <w:r w:rsidR="00B45FB9">
        <w:rPr>
          <w:rFonts w:ascii="Arial" w:hAnsi="Arial" w:cs="Arial"/>
          <w:sz w:val="22"/>
          <w:szCs w:val="22"/>
        </w:rPr>
        <w:t xml:space="preserve">Professor </w:t>
      </w:r>
      <w:r w:rsidR="00B1021A" w:rsidRPr="00B86A9B">
        <w:rPr>
          <w:rFonts w:ascii="Arial" w:hAnsi="Arial" w:cs="Arial"/>
          <w:sz w:val="22"/>
          <w:szCs w:val="22"/>
        </w:rPr>
        <w:t xml:space="preserve">Simon Kennedy </w:t>
      </w:r>
      <w:r w:rsidR="00B1021A">
        <w:rPr>
          <w:rFonts w:ascii="Arial" w:hAnsi="Arial" w:cs="Arial"/>
          <w:sz w:val="22"/>
          <w:szCs w:val="22"/>
        </w:rPr>
        <w:t>(</w:t>
      </w:r>
      <w:r w:rsidR="00B1021A" w:rsidRPr="00B86A9B">
        <w:rPr>
          <w:rFonts w:ascii="Arial" w:hAnsi="Arial" w:cs="Arial"/>
          <w:sz w:val="22"/>
          <w:szCs w:val="22"/>
        </w:rPr>
        <w:t>Elected Academic Staff Member</w:t>
      </w:r>
      <w:r w:rsidR="00B1021A">
        <w:rPr>
          <w:rFonts w:ascii="Arial" w:hAnsi="Arial" w:cs="Arial"/>
          <w:sz w:val="22"/>
          <w:szCs w:val="22"/>
        </w:rPr>
        <w:t>),</w:t>
      </w:r>
      <w:r w:rsidR="002B29CC">
        <w:rPr>
          <w:rFonts w:ascii="Arial" w:hAnsi="Arial" w:cs="Arial"/>
          <w:sz w:val="22"/>
          <w:szCs w:val="22"/>
        </w:rPr>
        <w:t xml:space="preserve"> </w:t>
      </w:r>
      <w:r w:rsidR="00B5078B">
        <w:rPr>
          <w:rFonts w:ascii="Arial" w:hAnsi="Arial" w:cs="Arial"/>
          <w:sz w:val="22"/>
          <w:szCs w:val="22"/>
        </w:rPr>
        <w:t>Laic Khalique (</w:t>
      </w:r>
      <w:r w:rsidR="00B5078B" w:rsidRPr="00B86A9B">
        <w:rPr>
          <w:rFonts w:ascii="Arial" w:hAnsi="Arial" w:cs="Arial"/>
          <w:sz w:val="22"/>
          <w:szCs w:val="22"/>
        </w:rPr>
        <w:t>Co-opted Member</w:t>
      </w:r>
      <w:r w:rsidR="00B5078B">
        <w:rPr>
          <w:rFonts w:ascii="Arial" w:hAnsi="Arial" w:cs="Arial"/>
          <w:sz w:val="22"/>
          <w:szCs w:val="22"/>
        </w:rPr>
        <w:t xml:space="preserve">), </w:t>
      </w:r>
      <w:r w:rsidR="00C11939">
        <w:rPr>
          <w:rFonts w:ascii="Arial" w:hAnsi="Arial" w:cs="Arial"/>
          <w:sz w:val="22"/>
          <w:szCs w:val="22"/>
        </w:rPr>
        <w:t xml:space="preserve">Jonathan Loukes </w:t>
      </w:r>
      <w:r w:rsidR="00C11939">
        <w:rPr>
          <w:rFonts w:ascii="Arial" w:eastAsiaTheme="minorEastAsia" w:hAnsi="Arial" w:cs="Arial"/>
          <w:sz w:val="22"/>
          <w:szCs w:val="22"/>
        </w:rPr>
        <w:t>(</w:t>
      </w:r>
      <w:r w:rsidR="00C11939" w:rsidRPr="00B86A9B">
        <w:rPr>
          <w:rFonts w:ascii="Arial" w:eastAsiaTheme="minorEastAsia" w:hAnsi="Arial" w:cs="Arial"/>
          <w:sz w:val="22"/>
          <w:szCs w:val="22"/>
        </w:rPr>
        <w:t>Co-opted Member</w:t>
      </w:r>
      <w:r w:rsidR="00C11939">
        <w:rPr>
          <w:rFonts w:ascii="Arial" w:hAnsi="Arial" w:cs="Arial"/>
          <w:sz w:val="22"/>
          <w:szCs w:val="22"/>
        </w:rPr>
        <w:t xml:space="preserve">), </w:t>
      </w:r>
      <w:r>
        <w:rPr>
          <w:rFonts w:ascii="Arial" w:eastAsiaTheme="minorEastAsia" w:hAnsi="Arial" w:cs="Arial"/>
          <w:sz w:val="22"/>
          <w:szCs w:val="22"/>
        </w:rPr>
        <w:t>Dr Christine Middlemiss (</w:t>
      </w:r>
      <w:r w:rsidRPr="00B86A9B">
        <w:rPr>
          <w:rFonts w:ascii="Arial" w:eastAsiaTheme="minorEastAsia" w:hAnsi="Arial" w:cs="Arial"/>
          <w:sz w:val="22"/>
          <w:szCs w:val="22"/>
        </w:rPr>
        <w:t>General Council Assessor</w:t>
      </w:r>
      <w:r>
        <w:rPr>
          <w:rFonts w:ascii="Arial" w:eastAsiaTheme="minorEastAsia" w:hAnsi="Arial" w:cs="Arial"/>
          <w:sz w:val="22"/>
          <w:szCs w:val="22"/>
        </w:rPr>
        <w:t>)</w:t>
      </w:r>
      <w:r>
        <w:rPr>
          <w:rFonts w:ascii="Arial" w:hAnsi="Arial" w:cs="Arial"/>
          <w:sz w:val="22"/>
          <w:szCs w:val="22"/>
        </w:rPr>
        <w:t>, Pablo Moran Ruiz (SRC President),</w:t>
      </w:r>
      <w:r w:rsidR="002C0502">
        <w:rPr>
          <w:rFonts w:ascii="Arial" w:hAnsi="Arial" w:cs="Arial"/>
          <w:sz w:val="22"/>
          <w:szCs w:val="22"/>
        </w:rPr>
        <w:t xml:space="preserve"> </w:t>
      </w:r>
      <w:r w:rsidR="005C6BA5" w:rsidRPr="00B86A9B">
        <w:rPr>
          <w:rFonts w:ascii="Arial" w:eastAsiaTheme="minorEastAsia" w:hAnsi="Arial" w:cs="Arial"/>
          <w:sz w:val="22"/>
          <w:szCs w:val="22"/>
        </w:rPr>
        <w:t xml:space="preserve">Professor </w:t>
      </w:r>
      <w:r w:rsidR="001A6845" w:rsidRPr="00B86A9B">
        <w:rPr>
          <w:rFonts w:ascii="Arial" w:eastAsiaTheme="minorEastAsia" w:hAnsi="Arial" w:cs="Arial"/>
          <w:sz w:val="22"/>
          <w:szCs w:val="22"/>
        </w:rPr>
        <w:t xml:space="preserve">Sir </w:t>
      </w:r>
      <w:r w:rsidR="005C6BA5" w:rsidRPr="00B86A9B">
        <w:rPr>
          <w:rFonts w:ascii="Arial" w:eastAsiaTheme="minorEastAsia" w:hAnsi="Arial" w:cs="Arial"/>
          <w:sz w:val="22"/>
          <w:szCs w:val="22"/>
        </w:rPr>
        <w:t xml:space="preserve">Anton Muscatelli </w:t>
      </w:r>
      <w:r w:rsidR="00C241BE">
        <w:rPr>
          <w:rFonts w:ascii="Arial" w:eastAsiaTheme="minorEastAsia" w:hAnsi="Arial" w:cs="Arial"/>
          <w:sz w:val="22"/>
          <w:szCs w:val="22"/>
        </w:rPr>
        <w:t>(</w:t>
      </w:r>
      <w:r w:rsidR="005C6BA5" w:rsidRPr="00B86A9B">
        <w:rPr>
          <w:rFonts w:ascii="Arial" w:eastAsiaTheme="minorEastAsia" w:hAnsi="Arial" w:cs="Arial"/>
          <w:sz w:val="22"/>
          <w:szCs w:val="22"/>
        </w:rPr>
        <w:t>Principal</w:t>
      </w:r>
      <w:r w:rsidR="00C241BE">
        <w:rPr>
          <w:rFonts w:ascii="Arial" w:eastAsiaTheme="minorEastAsia" w:hAnsi="Arial" w:cs="Arial"/>
          <w:sz w:val="22"/>
          <w:szCs w:val="22"/>
        </w:rPr>
        <w:t>)</w:t>
      </w:r>
      <w:r w:rsidR="005C6BA5" w:rsidRPr="00B86A9B">
        <w:rPr>
          <w:rFonts w:ascii="Arial" w:eastAsiaTheme="minorEastAsia" w:hAnsi="Arial" w:cs="Arial"/>
          <w:sz w:val="22"/>
          <w:szCs w:val="22"/>
        </w:rPr>
        <w:t>,</w:t>
      </w:r>
      <w:r>
        <w:rPr>
          <w:rFonts w:ascii="Arial" w:eastAsiaTheme="minorEastAsia" w:hAnsi="Arial" w:cs="Arial"/>
          <w:sz w:val="22"/>
          <w:szCs w:val="22"/>
        </w:rPr>
        <w:t xml:space="preserve"> </w:t>
      </w:r>
      <w:r w:rsidR="0012422C" w:rsidRPr="00B86A9B">
        <w:rPr>
          <w:rFonts w:ascii="Arial" w:hAnsi="Arial" w:cs="Arial"/>
          <w:sz w:val="22"/>
          <w:szCs w:val="22"/>
        </w:rPr>
        <w:t xml:space="preserve">Elspeth Orcharton </w:t>
      </w:r>
      <w:r w:rsidR="00C241BE">
        <w:rPr>
          <w:rFonts w:ascii="Arial" w:hAnsi="Arial" w:cs="Arial"/>
          <w:sz w:val="22"/>
          <w:szCs w:val="22"/>
        </w:rPr>
        <w:t>(</w:t>
      </w:r>
      <w:r w:rsidR="0012422C" w:rsidRPr="00B86A9B">
        <w:rPr>
          <w:rFonts w:ascii="Arial" w:hAnsi="Arial" w:cs="Arial"/>
          <w:sz w:val="22"/>
          <w:szCs w:val="22"/>
        </w:rPr>
        <w:t>Co-opted Member</w:t>
      </w:r>
      <w:r w:rsidR="00C241BE">
        <w:rPr>
          <w:rFonts w:ascii="Arial" w:hAnsi="Arial" w:cs="Arial"/>
          <w:sz w:val="22"/>
          <w:szCs w:val="22"/>
        </w:rPr>
        <w:t>)</w:t>
      </w:r>
      <w:r w:rsidR="0012422C" w:rsidRPr="00B86A9B">
        <w:rPr>
          <w:rFonts w:ascii="Arial" w:hAnsi="Arial" w:cs="Arial"/>
          <w:sz w:val="22"/>
          <w:szCs w:val="22"/>
        </w:rPr>
        <w:t xml:space="preserve">, </w:t>
      </w:r>
      <w:r w:rsidR="003D3CC0">
        <w:rPr>
          <w:rFonts w:ascii="Arial" w:eastAsiaTheme="minorEastAsia" w:hAnsi="Arial" w:cs="Arial"/>
          <w:sz w:val="22"/>
          <w:szCs w:val="22"/>
        </w:rPr>
        <w:t>Professor Richard Reeve (</w:t>
      </w:r>
      <w:r w:rsidR="003D3CC0" w:rsidRPr="00B86A9B">
        <w:rPr>
          <w:rFonts w:ascii="Arial" w:eastAsiaTheme="minorEastAsia" w:hAnsi="Arial" w:cs="Arial"/>
          <w:sz w:val="22"/>
          <w:szCs w:val="22"/>
        </w:rPr>
        <w:t>Trade Union Nominee</w:t>
      </w:r>
      <w:r w:rsidR="003D3CC0">
        <w:rPr>
          <w:rFonts w:ascii="Arial" w:eastAsiaTheme="minorEastAsia" w:hAnsi="Arial" w:cs="Arial"/>
          <w:sz w:val="22"/>
          <w:szCs w:val="22"/>
        </w:rPr>
        <w:t>)</w:t>
      </w:r>
      <w:r>
        <w:rPr>
          <w:rFonts w:ascii="Arial" w:eastAsiaTheme="minorEastAsia" w:hAnsi="Arial" w:cs="Arial"/>
          <w:sz w:val="22"/>
          <w:szCs w:val="22"/>
        </w:rPr>
        <w:t>,</w:t>
      </w:r>
      <w:r w:rsidR="00F544CA">
        <w:rPr>
          <w:rFonts w:ascii="Arial" w:hAnsi="Arial" w:cs="Arial"/>
          <w:sz w:val="22"/>
          <w:szCs w:val="22"/>
        </w:rPr>
        <w:t xml:space="preserve"> </w:t>
      </w:r>
      <w:r w:rsidR="002C0502">
        <w:rPr>
          <w:rFonts w:ascii="Arial" w:eastAsiaTheme="minorEastAsia" w:hAnsi="Arial" w:cs="Arial"/>
          <w:sz w:val="22"/>
          <w:szCs w:val="22"/>
        </w:rPr>
        <w:t>Shan Saba (</w:t>
      </w:r>
      <w:r w:rsidR="002C0502" w:rsidRPr="00B86A9B">
        <w:rPr>
          <w:rFonts w:ascii="Arial" w:eastAsiaTheme="minorEastAsia" w:hAnsi="Arial" w:cs="Arial"/>
          <w:sz w:val="22"/>
          <w:szCs w:val="22"/>
        </w:rPr>
        <w:t>Co-opted Member</w:t>
      </w:r>
      <w:r w:rsidR="002C0502">
        <w:rPr>
          <w:rFonts w:ascii="Arial" w:eastAsiaTheme="minorEastAsia" w:hAnsi="Arial" w:cs="Arial"/>
          <w:sz w:val="22"/>
          <w:szCs w:val="22"/>
        </w:rPr>
        <w:t xml:space="preserve">), </w:t>
      </w:r>
      <w:r>
        <w:rPr>
          <w:rFonts w:ascii="Arial" w:hAnsi="Arial" w:cs="Arial"/>
          <w:sz w:val="22"/>
          <w:szCs w:val="22"/>
        </w:rPr>
        <w:t xml:space="preserve">Professor </w:t>
      </w:r>
      <w:r w:rsidR="00D37D2B" w:rsidRPr="00B86A9B">
        <w:rPr>
          <w:rFonts w:ascii="Arial" w:hAnsi="Arial" w:cs="Arial"/>
          <w:sz w:val="22"/>
          <w:szCs w:val="22"/>
        </w:rPr>
        <w:t xml:space="preserve">Bethan Wood </w:t>
      </w:r>
      <w:r w:rsidR="00C241BE">
        <w:rPr>
          <w:rFonts w:ascii="Arial" w:hAnsi="Arial" w:cs="Arial"/>
          <w:sz w:val="22"/>
          <w:szCs w:val="22"/>
        </w:rPr>
        <w:t>(</w:t>
      </w:r>
      <w:r w:rsidR="00D37D2B" w:rsidRPr="00B86A9B">
        <w:rPr>
          <w:rFonts w:ascii="Arial" w:hAnsi="Arial" w:cs="Arial"/>
          <w:sz w:val="22"/>
          <w:szCs w:val="22"/>
        </w:rPr>
        <w:t>Elected Academic Staff Member</w:t>
      </w:r>
      <w:r w:rsidR="00C241BE">
        <w:rPr>
          <w:rFonts w:ascii="Arial" w:hAnsi="Arial" w:cs="Arial"/>
          <w:sz w:val="22"/>
          <w:szCs w:val="22"/>
        </w:rPr>
        <w:t>)</w:t>
      </w:r>
      <w:r w:rsidR="00451546">
        <w:rPr>
          <w:rFonts w:ascii="Arial" w:hAnsi="Arial" w:cs="Arial"/>
          <w:sz w:val="22"/>
          <w:szCs w:val="22"/>
        </w:rPr>
        <w:t>.</w:t>
      </w:r>
    </w:p>
    <w:p w14:paraId="3CCD3A75" w14:textId="77777777" w:rsidR="00287D44" w:rsidRPr="00B86A9B" w:rsidRDefault="00287D44" w:rsidP="00266A6D">
      <w:pPr>
        <w:spacing w:after="120"/>
        <w:jc w:val="both"/>
        <w:rPr>
          <w:rFonts w:ascii="Arial" w:hAnsi="Arial" w:cs="Arial"/>
          <w:b/>
          <w:bCs/>
          <w:sz w:val="22"/>
          <w:szCs w:val="22"/>
        </w:rPr>
      </w:pPr>
    </w:p>
    <w:p w14:paraId="5890D926" w14:textId="77777777" w:rsidR="00C241BE" w:rsidRDefault="006B169D" w:rsidP="00C241BE">
      <w:pPr>
        <w:jc w:val="both"/>
        <w:rPr>
          <w:rFonts w:ascii="Arial" w:eastAsiaTheme="minorEastAsia" w:hAnsi="Arial" w:cs="Arial"/>
          <w:b/>
          <w:bCs/>
          <w:sz w:val="22"/>
          <w:szCs w:val="22"/>
        </w:rPr>
      </w:pPr>
      <w:r w:rsidRPr="00B86A9B">
        <w:rPr>
          <w:rFonts w:ascii="Arial" w:eastAsiaTheme="minorEastAsia" w:hAnsi="Arial" w:cs="Arial"/>
          <w:b/>
          <w:bCs/>
          <w:sz w:val="22"/>
          <w:szCs w:val="22"/>
        </w:rPr>
        <w:t>Attending</w:t>
      </w:r>
      <w:r w:rsidR="005C6BA5" w:rsidRPr="00B86A9B">
        <w:rPr>
          <w:rFonts w:ascii="Arial" w:eastAsiaTheme="minorEastAsia" w:hAnsi="Arial" w:cs="Arial"/>
          <w:b/>
          <w:bCs/>
          <w:sz w:val="22"/>
          <w:szCs w:val="22"/>
        </w:rPr>
        <w:t>:</w:t>
      </w:r>
    </w:p>
    <w:p w14:paraId="49C22690" w14:textId="031A9A7E" w:rsidR="007A16D4" w:rsidRPr="0008439D" w:rsidRDefault="002C0502" w:rsidP="007A16D4">
      <w:pPr>
        <w:pStyle w:val="ItemText1"/>
        <w:ind w:left="0"/>
        <w:rPr>
          <w:rFonts w:ascii="Arial" w:hAnsi="Arial" w:cs="Arial"/>
          <w:b/>
          <w:bCs/>
          <w:color w:val="FF0000"/>
        </w:rPr>
      </w:pPr>
      <w:r w:rsidRPr="0008439D">
        <w:rPr>
          <w:rFonts w:ascii="Arial" w:hAnsi="Arial" w:cs="Arial"/>
          <w:sz w:val="22"/>
          <w:szCs w:val="22"/>
        </w:rPr>
        <w:t>Gregor Caldow (Executive Director of Finance), Professor Frank Coton (</w:t>
      </w:r>
      <w:r w:rsidRPr="0008439D">
        <w:rPr>
          <w:rFonts w:ascii="Arial" w:hAnsi="Arial" w:cs="Arial"/>
          <w:sz w:val="22"/>
          <w:szCs w:val="22"/>
          <w:lang w:eastAsia="zh-CN"/>
        </w:rPr>
        <w:t>Senior Vice Principal and Deputy Vice Chancellor (Academic)</w:t>
      </w:r>
      <w:r w:rsidRPr="0008439D">
        <w:rPr>
          <w:rFonts w:ascii="Arial" w:hAnsi="Arial" w:cs="Arial"/>
          <w:color w:val="auto"/>
          <w:sz w:val="22"/>
          <w:szCs w:val="22"/>
        </w:rPr>
        <w:t>),</w:t>
      </w:r>
      <w:r>
        <w:rPr>
          <w:rFonts w:ascii="Arial" w:hAnsi="Arial" w:cs="Arial"/>
          <w:color w:val="auto"/>
          <w:sz w:val="22"/>
          <w:szCs w:val="22"/>
        </w:rPr>
        <w:t xml:space="preserve"> </w:t>
      </w:r>
      <w:r w:rsidR="007A16D4" w:rsidRPr="0008439D">
        <w:rPr>
          <w:rFonts w:ascii="Arial" w:eastAsiaTheme="minorEastAsia" w:hAnsi="Arial" w:cs="Arial"/>
          <w:color w:val="auto"/>
          <w:sz w:val="22"/>
          <w:szCs w:val="22"/>
        </w:rPr>
        <w:t xml:space="preserve">Dr </w:t>
      </w:r>
      <w:r w:rsidR="007A16D4" w:rsidRPr="0008439D">
        <w:rPr>
          <w:rFonts w:ascii="Arial" w:eastAsiaTheme="minorEastAsia" w:hAnsi="Arial" w:cs="Arial"/>
          <w:sz w:val="22"/>
          <w:szCs w:val="22"/>
        </w:rPr>
        <w:t>David Duncan (Chief Operating Officer</w:t>
      </w:r>
      <w:r w:rsidR="00E6640B">
        <w:rPr>
          <w:rFonts w:ascii="Arial" w:eastAsiaTheme="minorEastAsia" w:hAnsi="Arial" w:cs="Arial"/>
          <w:sz w:val="22"/>
          <w:szCs w:val="22"/>
        </w:rPr>
        <w:t xml:space="preserve"> </w:t>
      </w:r>
      <w:r w:rsidR="007A16D4" w:rsidRPr="0008439D">
        <w:rPr>
          <w:rFonts w:ascii="Arial" w:eastAsiaTheme="minorEastAsia" w:hAnsi="Arial" w:cs="Arial"/>
          <w:sz w:val="22"/>
          <w:szCs w:val="22"/>
        </w:rPr>
        <w:t xml:space="preserve">&amp; University Secretary), </w:t>
      </w:r>
      <w:r w:rsidR="007A16D4" w:rsidRPr="0008439D">
        <w:rPr>
          <w:rFonts w:ascii="Arial" w:hAnsi="Arial" w:cs="Arial"/>
          <w:sz w:val="22"/>
          <w:szCs w:val="22"/>
        </w:rPr>
        <w:t>Amber Higgins (</w:t>
      </w:r>
      <w:r w:rsidR="00E6640B">
        <w:rPr>
          <w:rFonts w:ascii="Arial" w:hAnsi="Arial" w:cs="Arial"/>
          <w:sz w:val="22"/>
          <w:szCs w:val="22"/>
        </w:rPr>
        <w:t>Head of Court Office</w:t>
      </w:r>
      <w:r w:rsidR="007A16D4" w:rsidRPr="0008439D">
        <w:rPr>
          <w:rFonts w:ascii="Arial" w:hAnsi="Arial" w:cs="Arial"/>
          <w:sz w:val="22"/>
          <w:szCs w:val="22"/>
        </w:rPr>
        <w:t xml:space="preserve"> and Clerk to Court)</w:t>
      </w:r>
      <w:r w:rsidR="007A16D4">
        <w:rPr>
          <w:rFonts w:ascii="Arial" w:hAnsi="Arial" w:cs="Arial"/>
          <w:sz w:val="22"/>
          <w:szCs w:val="22"/>
        </w:rPr>
        <w:t xml:space="preserve">, </w:t>
      </w:r>
      <w:r w:rsidR="00E6640B">
        <w:rPr>
          <w:rFonts w:ascii="Arial" w:hAnsi="Arial" w:cs="Arial"/>
          <w:sz w:val="22"/>
          <w:szCs w:val="22"/>
        </w:rPr>
        <w:t>Mary Jane Brouwers (Co-opted member of Court from Oct 2024)</w:t>
      </w:r>
      <w:r>
        <w:rPr>
          <w:rFonts w:ascii="Arial" w:hAnsi="Arial" w:cs="Arial"/>
          <w:sz w:val="22"/>
          <w:szCs w:val="22"/>
        </w:rPr>
        <w:t>, Martin Sinclair (Chair of Audit and risk Committee).</w:t>
      </w:r>
    </w:p>
    <w:p w14:paraId="1336500E" w14:textId="32EBE59B" w:rsidR="00273726" w:rsidRPr="00B86A9B" w:rsidRDefault="00273726" w:rsidP="003F1095">
      <w:pPr>
        <w:jc w:val="both"/>
        <w:rPr>
          <w:rFonts w:ascii="Arial" w:eastAsiaTheme="minorEastAsia" w:hAnsi="Arial" w:cs="Arial"/>
          <w:b/>
          <w:bCs/>
          <w:sz w:val="22"/>
          <w:szCs w:val="22"/>
        </w:rPr>
      </w:pPr>
    </w:p>
    <w:p w14:paraId="25A9D1EC" w14:textId="77777777" w:rsidR="004006F0" w:rsidRPr="001E2F38" w:rsidRDefault="005C6BA5" w:rsidP="001B7310">
      <w:pPr>
        <w:jc w:val="both"/>
        <w:rPr>
          <w:rFonts w:ascii="Arial" w:eastAsiaTheme="minorEastAsia" w:hAnsi="Arial" w:cs="Arial"/>
          <w:b/>
          <w:bCs/>
          <w:sz w:val="22"/>
          <w:szCs w:val="22"/>
        </w:rPr>
      </w:pPr>
      <w:r w:rsidRPr="001E2F38">
        <w:rPr>
          <w:rFonts w:ascii="Arial" w:eastAsiaTheme="minorEastAsia" w:hAnsi="Arial" w:cs="Arial"/>
          <w:b/>
          <w:bCs/>
          <w:sz w:val="22"/>
          <w:szCs w:val="22"/>
        </w:rPr>
        <w:t xml:space="preserve">Apologies: </w:t>
      </w:r>
    </w:p>
    <w:bookmarkEnd w:id="0"/>
    <w:p w14:paraId="6E594915" w14:textId="78F23616" w:rsidR="00917E4E" w:rsidRDefault="002C0502" w:rsidP="002C0502">
      <w:pPr>
        <w:spacing w:after="120"/>
        <w:jc w:val="both"/>
        <w:rPr>
          <w:rFonts w:ascii="Arial" w:hAnsi="Arial" w:cs="Arial"/>
          <w:sz w:val="22"/>
          <w:szCs w:val="22"/>
        </w:rPr>
      </w:pPr>
      <w:r>
        <w:rPr>
          <w:rFonts w:ascii="Arial" w:hAnsi="Arial" w:cs="Arial"/>
          <w:sz w:val="22"/>
          <w:szCs w:val="22"/>
        </w:rPr>
        <w:t xml:space="preserve">Dr Ghassan Abu-Sittah (Rector), </w:t>
      </w:r>
      <w:r w:rsidR="00E6640B">
        <w:rPr>
          <w:rFonts w:ascii="Arial" w:hAnsi="Arial" w:cs="Arial"/>
          <w:sz w:val="22"/>
          <w:szCs w:val="22"/>
        </w:rPr>
        <w:t xml:space="preserve">Paula McKerrow (Trade </w:t>
      </w:r>
      <w:r w:rsidR="00E6640B" w:rsidRPr="00B86A9B">
        <w:rPr>
          <w:rFonts w:ascii="Arial" w:hAnsi="Arial" w:cs="Arial"/>
          <w:sz w:val="22"/>
          <w:szCs w:val="22"/>
        </w:rPr>
        <w:t>Union Nominee</w:t>
      </w:r>
      <w:r w:rsidR="00E6640B">
        <w:rPr>
          <w:rFonts w:ascii="Arial" w:hAnsi="Arial" w:cs="Arial"/>
          <w:sz w:val="22"/>
          <w:szCs w:val="22"/>
        </w:rPr>
        <w:t>),</w:t>
      </w:r>
      <w:r w:rsidR="00E6640B" w:rsidRPr="00E6640B">
        <w:rPr>
          <w:rFonts w:ascii="Arial" w:hAnsi="Arial" w:cs="Arial"/>
          <w:sz w:val="22"/>
          <w:szCs w:val="22"/>
        </w:rPr>
        <w:t xml:space="preserve"> </w:t>
      </w:r>
      <w:r>
        <w:rPr>
          <w:rFonts w:ascii="Arial" w:hAnsi="Arial" w:cs="Arial"/>
          <w:sz w:val="22"/>
          <w:szCs w:val="22"/>
        </w:rPr>
        <w:t>Lorriane McMillan</w:t>
      </w:r>
      <w:r w:rsidRPr="00B86A9B">
        <w:rPr>
          <w:rFonts w:ascii="Arial" w:hAnsi="Arial" w:cs="Arial"/>
          <w:sz w:val="22"/>
          <w:szCs w:val="22"/>
        </w:rPr>
        <w:t xml:space="preserve"> </w:t>
      </w:r>
      <w:r>
        <w:rPr>
          <w:rFonts w:ascii="Arial" w:hAnsi="Arial" w:cs="Arial"/>
          <w:sz w:val="22"/>
          <w:szCs w:val="22"/>
        </w:rPr>
        <w:t>(</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w:t>
      </w:r>
      <w:r>
        <w:rPr>
          <w:rFonts w:ascii="Arial" w:hAnsi="Arial" w:cs="Arial"/>
          <w:sz w:val="22"/>
          <w:szCs w:val="22"/>
        </w:rPr>
        <w:t xml:space="preserve"> </w:t>
      </w:r>
      <w:r>
        <w:rPr>
          <w:rFonts w:ascii="Arial" w:eastAsiaTheme="minorEastAsia" w:hAnsi="Arial" w:cs="Arial"/>
          <w:sz w:val="22"/>
          <w:szCs w:val="22"/>
        </w:rPr>
        <w:t>Dr Christine Middlemiss (</w:t>
      </w:r>
      <w:r w:rsidRPr="00B86A9B">
        <w:rPr>
          <w:rFonts w:ascii="Arial" w:eastAsiaTheme="minorEastAsia" w:hAnsi="Arial" w:cs="Arial"/>
          <w:sz w:val="22"/>
          <w:szCs w:val="22"/>
        </w:rPr>
        <w:t>General Council Assessor</w:t>
      </w:r>
      <w:r>
        <w:rPr>
          <w:rFonts w:ascii="Arial" w:eastAsiaTheme="minorEastAsia" w:hAnsi="Arial" w:cs="Arial"/>
          <w:sz w:val="22"/>
          <w:szCs w:val="22"/>
        </w:rPr>
        <w:t>)</w:t>
      </w:r>
    </w:p>
    <w:p w14:paraId="54BD31F4" w14:textId="77777777" w:rsidR="002C0502" w:rsidRPr="002C0502" w:rsidRDefault="002C0502" w:rsidP="002C0502">
      <w:pPr>
        <w:spacing w:after="120"/>
        <w:jc w:val="both"/>
        <w:rPr>
          <w:rFonts w:ascii="Arial" w:hAnsi="Arial" w:cs="Arial"/>
          <w:sz w:val="22"/>
          <w:szCs w:val="22"/>
        </w:rPr>
      </w:pPr>
    </w:p>
    <w:p w14:paraId="4C96ABDC" w14:textId="51431CEC" w:rsidR="002C0502" w:rsidRPr="008453AB" w:rsidRDefault="002C0502" w:rsidP="002C0502">
      <w:pPr>
        <w:keepNext/>
        <w:tabs>
          <w:tab w:val="left" w:pos="567"/>
          <w:tab w:val="left" w:pos="850"/>
          <w:tab w:val="left" w:pos="1134"/>
          <w:tab w:val="left" w:pos="1418"/>
          <w:tab w:val="left" w:pos="1701"/>
          <w:tab w:val="left" w:pos="1985"/>
        </w:tabs>
        <w:spacing w:after="240"/>
        <w:ind w:left="567" w:hanging="567"/>
        <w:jc w:val="both"/>
        <w:rPr>
          <w:rFonts w:ascii="Arial" w:eastAsiaTheme="minorEastAsia" w:hAnsi="Arial" w:cs="Arial"/>
          <w:b/>
          <w:bCs/>
          <w:sz w:val="22"/>
          <w:szCs w:val="22"/>
        </w:rPr>
      </w:pPr>
      <w:r w:rsidRPr="001E2F38">
        <w:rPr>
          <w:rFonts w:ascii="Arial" w:eastAsiaTheme="minorEastAsia" w:hAnsi="Arial" w:cs="Arial"/>
          <w:b/>
          <w:bCs/>
          <w:sz w:val="22"/>
          <w:szCs w:val="22"/>
        </w:rPr>
        <w:t>CRT/202</w:t>
      </w:r>
      <w:r>
        <w:rPr>
          <w:rFonts w:ascii="Arial" w:eastAsiaTheme="minorEastAsia" w:hAnsi="Arial" w:cs="Arial"/>
          <w:b/>
          <w:bCs/>
          <w:sz w:val="22"/>
          <w:szCs w:val="22"/>
        </w:rPr>
        <w:t>4</w:t>
      </w:r>
      <w:r w:rsidRPr="001E2F38">
        <w:rPr>
          <w:rFonts w:ascii="Arial" w:eastAsiaTheme="minorEastAsia" w:hAnsi="Arial" w:cs="Arial"/>
          <w:b/>
          <w:bCs/>
          <w:sz w:val="22"/>
          <w:szCs w:val="22"/>
        </w:rPr>
        <w:t>/</w:t>
      </w:r>
      <w:r>
        <w:rPr>
          <w:rFonts w:ascii="Arial" w:eastAsiaTheme="minorEastAsia" w:hAnsi="Arial" w:cs="Arial"/>
          <w:b/>
          <w:bCs/>
          <w:sz w:val="22"/>
          <w:szCs w:val="22"/>
        </w:rPr>
        <w:t>04</w:t>
      </w:r>
      <w:r w:rsidRPr="001E2F38">
        <w:rPr>
          <w:rFonts w:ascii="Arial" w:eastAsiaTheme="minorEastAsia" w:hAnsi="Arial" w:cs="Arial"/>
          <w:b/>
          <w:bCs/>
          <w:sz w:val="22"/>
          <w:szCs w:val="22"/>
        </w:rPr>
        <w:t xml:space="preserve">. </w:t>
      </w:r>
      <w:r w:rsidRPr="00B86A9B">
        <w:rPr>
          <w:rFonts w:ascii="Arial" w:eastAsiaTheme="minorEastAsia" w:hAnsi="Arial" w:cs="Arial"/>
          <w:b/>
          <w:bCs/>
          <w:sz w:val="22"/>
          <w:szCs w:val="22"/>
        </w:rPr>
        <w:t>Announcements</w:t>
      </w:r>
      <w:r>
        <w:rPr>
          <w:rFonts w:ascii="Arial" w:eastAsiaTheme="minorEastAsia" w:hAnsi="Arial" w:cs="Arial"/>
          <w:b/>
          <w:bCs/>
          <w:sz w:val="22"/>
          <w:szCs w:val="22"/>
        </w:rPr>
        <w:t xml:space="preserve"> and declaration of Interests</w:t>
      </w:r>
    </w:p>
    <w:p w14:paraId="4B4BFA5A" w14:textId="4D89B1B8" w:rsidR="002C0502" w:rsidRDefault="002C0502" w:rsidP="002C0502">
      <w:pPr>
        <w:jc w:val="both"/>
        <w:rPr>
          <w:rFonts w:asciiTheme="minorBidi" w:hAnsiTheme="minorBidi" w:cstheme="minorBidi"/>
          <w:sz w:val="22"/>
          <w:szCs w:val="22"/>
        </w:rPr>
      </w:pPr>
      <w:r w:rsidRPr="008453AB">
        <w:rPr>
          <w:rFonts w:ascii="Arial" w:hAnsi="Arial" w:cs="Arial"/>
          <w:sz w:val="22"/>
          <w:szCs w:val="22"/>
        </w:rPr>
        <w:t xml:space="preserve">The Convener welcomed </w:t>
      </w:r>
      <w:r>
        <w:rPr>
          <w:rFonts w:ascii="Arial" w:hAnsi="Arial" w:cs="Arial"/>
          <w:sz w:val="22"/>
          <w:szCs w:val="22"/>
        </w:rPr>
        <w:t>Lorraine McMillan (</w:t>
      </w:r>
      <w:r w:rsidRPr="00B86A9B">
        <w:rPr>
          <w:rFonts w:ascii="Arial" w:hAnsi="Arial" w:cs="Arial"/>
          <w:sz w:val="22"/>
          <w:szCs w:val="22"/>
        </w:rPr>
        <w:t>Co-opted Member</w:t>
      </w:r>
      <w:r>
        <w:rPr>
          <w:rFonts w:ascii="Arial" w:hAnsi="Arial" w:cs="Arial"/>
          <w:sz w:val="22"/>
          <w:szCs w:val="22"/>
        </w:rPr>
        <w:t>)</w:t>
      </w:r>
      <w:r w:rsidR="006718D7">
        <w:rPr>
          <w:rFonts w:ascii="Arial" w:hAnsi="Arial" w:cs="Arial"/>
          <w:sz w:val="22"/>
          <w:szCs w:val="22"/>
        </w:rPr>
        <w:t xml:space="preserve"> (in her absence) and</w:t>
      </w:r>
      <w:r w:rsidRPr="002C0502">
        <w:rPr>
          <w:rFonts w:ascii="Arial" w:hAnsi="Arial" w:cs="Arial"/>
          <w:sz w:val="22"/>
          <w:szCs w:val="22"/>
        </w:rPr>
        <w:t xml:space="preserve"> </w:t>
      </w:r>
      <w:r>
        <w:rPr>
          <w:rFonts w:ascii="Arial" w:hAnsi="Arial" w:cs="Arial"/>
          <w:sz w:val="22"/>
          <w:szCs w:val="22"/>
        </w:rPr>
        <w:t>Mary Jane Brouwers (</w:t>
      </w:r>
      <w:r w:rsidR="006718D7">
        <w:rPr>
          <w:rFonts w:ascii="Arial" w:hAnsi="Arial" w:cs="Arial"/>
          <w:sz w:val="22"/>
          <w:szCs w:val="22"/>
        </w:rPr>
        <w:t xml:space="preserve">future </w:t>
      </w:r>
      <w:r>
        <w:rPr>
          <w:rFonts w:ascii="Arial" w:hAnsi="Arial" w:cs="Arial"/>
          <w:sz w:val="22"/>
          <w:szCs w:val="22"/>
        </w:rPr>
        <w:t>Co-opted member</w:t>
      </w:r>
      <w:r w:rsidR="006718D7">
        <w:rPr>
          <w:rFonts w:ascii="Arial" w:hAnsi="Arial" w:cs="Arial"/>
          <w:sz w:val="22"/>
          <w:szCs w:val="22"/>
        </w:rPr>
        <w:t xml:space="preserve"> from 1 October</w:t>
      </w:r>
      <w:r>
        <w:rPr>
          <w:rFonts w:ascii="Arial" w:hAnsi="Arial" w:cs="Arial"/>
          <w:sz w:val="22"/>
          <w:szCs w:val="22"/>
        </w:rPr>
        <w:t xml:space="preserve">) </w:t>
      </w:r>
      <w:r w:rsidR="006718D7" w:rsidRPr="008453AB">
        <w:rPr>
          <w:rFonts w:ascii="Arial" w:hAnsi="Arial" w:cs="Arial"/>
          <w:sz w:val="22"/>
          <w:szCs w:val="22"/>
        </w:rPr>
        <w:t>as</w:t>
      </w:r>
      <w:r w:rsidR="006718D7">
        <w:rPr>
          <w:rFonts w:ascii="Arial" w:hAnsi="Arial" w:cs="Arial"/>
          <w:sz w:val="22"/>
          <w:szCs w:val="22"/>
        </w:rPr>
        <w:t xml:space="preserve"> new members of Court</w:t>
      </w:r>
      <w:r w:rsidR="006718D7" w:rsidRPr="008453AB">
        <w:rPr>
          <w:rFonts w:ascii="Arial" w:hAnsi="Arial" w:cs="Arial"/>
          <w:sz w:val="22"/>
          <w:szCs w:val="22"/>
        </w:rPr>
        <w:t xml:space="preserve"> </w:t>
      </w:r>
      <w:proofErr w:type="gramStart"/>
      <w:r w:rsidRPr="008453AB">
        <w:rPr>
          <w:rFonts w:ascii="Arial" w:hAnsi="Arial" w:cs="Arial"/>
          <w:sz w:val="22"/>
          <w:szCs w:val="22"/>
        </w:rPr>
        <w:t xml:space="preserve">and </w:t>
      </w:r>
      <w:r w:rsidRPr="008453AB">
        <w:rPr>
          <w:rFonts w:ascii="Arial" w:eastAsiaTheme="minorEastAsia" w:hAnsi="Arial" w:cs="Arial"/>
          <w:sz w:val="22"/>
          <w:szCs w:val="22"/>
        </w:rPr>
        <w:t xml:space="preserve"> </w:t>
      </w:r>
      <w:r>
        <w:rPr>
          <w:rFonts w:ascii="Arial" w:hAnsi="Arial" w:cs="Arial"/>
          <w:sz w:val="22"/>
          <w:szCs w:val="22"/>
        </w:rPr>
        <w:t>Pablo</w:t>
      </w:r>
      <w:proofErr w:type="gramEnd"/>
      <w:r>
        <w:rPr>
          <w:rFonts w:ascii="Arial" w:hAnsi="Arial" w:cs="Arial"/>
          <w:sz w:val="22"/>
          <w:szCs w:val="22"/>
        </w:rPr>
        <w:t xml:space="preserve"> Moran Ruiz</w:t>
      </w:r>
      <w:r w:rsidRPr="008453AB">
        <w:rPr>
          <w:rFonts w:ascii="Arial" w:hAnsi="Arial" w:cs="Arial"/>
          <w:sz w:val="22"/>
          <w:szCs w:val="22"/>
        </w:rPr>
        <w:t xml:space="preserve"> (SRC President),</w:t>
      </w:r>
      <w:r w:rsidR="006718D7">
        <w:rPr>
          <w:rFonts w:ascii="Arial" w:hAnsi="Arial" w:cs="Arial"/>
          <w:sz w:val="22"/>
          <w:szCs w:val="22"/>
        </w:rPr>
        <w:t xml:space="preserve"> in his new role on Court</w:t>
      </w:r>
      <w:r w:rsidRPr="008453AB">
        <w:rPr>
          <w:rFonts w:asciiTheme="minorBidi" w:hAnsiTheme="minorBidi" w:cstheme="minorBidi"/>
          <w:sz w:val="22"/>
          <w:szCs w:val="22"/>
        </w:rPr>
        <w:t>.</w:t>
      </w:r>
      <w:r>
        <w:rPr>
          <w:rFonts w:asciiTheme="minorBidi" w:hAnsiTheme="minorBidi" w:cstheme="minorBidi"/>
          <w:sz w:val="22"/>
          <w:szCs w:val="22"/>
        </w:rPr>
        <w:t xml:space="preserve"> Court also noted that Martin Sinclair would be attending Court as an observer as the Chair of the Audit and Risk Committee</w:t>
      </w:r>
      <w:r w:rsidR="006718D7">
        <w:rPr>
          <w:rFonts w:asciiTheme="minorBidi" w:hAnsiTheme="minorBidi" w:cstheme="minorBidi"/>
          <w:sz w:val="22"/>
          <w:szCs w:val="22"/>
        </w:rPr>
        <w:t xml:space="preserve"> from </w:t>
      </w:r>
      <w:proofErr w:type="gramStart"/>
      <w:r w:rsidR="006718D7">
        <w:rPr>
          <w:rFonts w:asciiTheme="minorBidi" w:hAnsiTheme="minorBidi" w:cstheme="minorBidi"/>
          <w:sz w:val="22"/>
          <w:szCs w:val="22"/>
        </w:rPr>
        <w:t>1 October, and</w:t>
      </w:r>
      <w:proofErr w:type="gramEnd"/>
      <w:r w:rsidR="006718D7">
        <w:rPr>
          <w:rFonts w:asciiTheme="minorBidi" w:hAnsiTheme="minorBidi" w:cstheme="minorBidi"/>
          <w:sz w:val="22"/>
          <w:szCs w:val="22"/>
        </w:rPr>
        <w:t xml:space="preserve"> welcomed Martin</w:t>
      </w:r>
      <w:r>
        <w:rPr>
          <w:rFonts w:asciiTheme="minorBidi" w:hAnsiTheme="minorBidi" w:cstheme="minorBidi"/>
          <w:sz w:val="22"/>
          <w:szCs w:val="22"/>
        </w:rPr>
        <w:t xml:space="preserve">. </w:t>
      </w:r>
    </w:p>
    <w:p w14:paraId="5CC03FF5" w14:textId="77777777" w:rsidR="00264694" w:rsidRDefault="00264694" w:rsidP="002C0502">
      <w:pPr>
        <w:jc w:val="both"/>
        <w:rPr>
          <w:rFonts w:asciiTheme="minorBidi" w:hAnsiTheme="minorBidi" w:cstheme="minorBidi"/>
          <w:sz w:val="22"/>
          <w:szCs w:val="22"/>
        </w:rPr>
      </w:pPr>
    </w:p>
    <w:p w14:paraId="198FFC51" w14:textId="71D61DD6" w:rsidR="00264694" w:rsidRDefault="00264694" w:rsidP="002C0502">
      <w:pPr>
        <w:jc w:val="both"/>
        <w:rPr>
          <w:rFonts w:asciiTheme="minorBidi" w:hAnsiTheme="minorBidi" w:cstheme="minorBidi"/>
          <w:sz w:val="22"/>
          <w:szCs w:val="22"/>
        </w:rPr>
      </w:pPr>
      <w:r>
        <w:rPr>
          <w:rFonts w:asciiTheme="minorBidi" w:hAnsiTheme="minorBidi" w:cstheme="minorBidi"/>
          <w:sz w:val="22"/>
          <w:szCs w:val="22"/>
        </w:rPr>
        <w:t xml:space="preserve">Court noted that the Rector was absent as he was currently in Beirut and passed on their best wishes. </w:t>
      </w:r>
    </w:p>
    <w:p w14:paraId="3CD029F5" w14:textId="77777777" w:rsidR="002C0502" w:rsidRDefault="002C0502" w:rsidP="002C0502">
      <w:pPr>
        <w:jc w:val="both"/>
        <w:rPr>
          <w:rFonts w:ascii="Arial" w:eastAsiaTheme="minorEastAsia" w:hAnsi="Arial" w:cs="Arial"/>
          <w:sz w:val="22"/>
          <w:szCs w:val="22"/>
        </w:rPr>
      </w:pPr>
    </w:p>
    <w:p w14:paraId="18E67EFD" w14:textId="2383147E" w:rsidR="002C0502" w:rsidRPr="00FD1F18" w:rsidRDefault="002C0502" w:rsidP="002C0502">
      <w:pPr>
        <w:jc w:val="both"/>
        <w:rPr>
          <w:rFonts w:ascii="Arial" w:eastAsiaTheme="minorEastAsia" w:hAnsi="Arial" w:cs="Arial"/>
          <w:sz w:val="22"/>
          <w:szCs w:val="22"/>
        </w:rPr>
      </w:pPr>
      <w:r w:rsidRPr="008453AB">
        <w:rPr>
          <w:rFonts w:ascii="Arial" w:eastAsiaTheme="minorEastAsia" w:hAnsi="Arial" w:cs="Arial"/>
          <w:sz w:val="22"/>
          <w:szCs w:val="22"/>
        </w:rPr>
        <w:t>There was the following declaration of interest in relation to business to be conducted at the meeting:</w:t>
      </w:r>
      <w:r>
        <w:rPr>
          <w:rFonts w:ascii="Arial" w:eastAsiaTheme="minorEastAsia" w:hAnsi="Arial" w:cs="Arial"/>
          <w:sz w:val="22"/>
          <w:szCs w:val="22"/>
        </w:rPr>
        <w:t xml:space="preserve"> </w:t>
      </w:r>
      <w:r w:rsidRPr="008453AB">
        <w:rPr>
          <w:rFonts w:ascii="Arial" w:eastAsiaTheme="minorEastAsia" w:hAnsi="Arial" w:cs="Arial"/>
          <w:sz w:val="22"/>
          <w:szCs w:val="22"/>
        </w:rPr>
        <w:t>Dr David Duncan as a member of the UCEA - National Negotiating Team.</w:t>
      </w:r>
    </w:p>
    <w:p w14:paraId="5DA2615D" w14:textId="77777777" w:rsidR="002C0502" w:rsidRDefault="002C0502" w:rsidP="002C0502">
      <w:pPr>
        <w:jc w:val="both"/>
        <w:rPr>
          <w:rFonts w:ascii="Arial" w:eastAsiaTheme="minorEastAsia" w:hAnsi="Arial" w:cs="Arial"/>
          <w:sz w:val="22"/>
          <w:szCs w:val="22"/>
        </w:rPr>
      </w:pPr>
    </w:p>
    <w:p w14:paraId="397E0221" w14:textId="5C87BEB7" w:rsidR="002C0502" w:rsidRPr="001E2F38" w:rsidRDefault="002C0502" w:rsidP="002C0502">
      <w:pPr>
        <w:jc w:val="both"/>
        <w:rPr>
          <w:rFonts w:ascii="Arial" w:eastAsiaTheme="minorEastAsia" w:hAnsi="Arial" w:cs="Arial"/>
          <w:sz w:val="22"/>
          <w:szCs w:val="22"/>
        </w:rPr>
      </w:pPr>
      <w:r w:rsidRPr="007214F3">
        <w:rPr>
          <w:rFonts w:ascii="Arial" w:eastAsiaTheme="minorEastAsia" w:hAnsi="Arial" w:cs="Arial"/>
          <w:sz w:val="22"/>
          <w:szCs w:val="22"/>
        </w:rPr>
        <w:t>A pre-Court briefing took place on</w:t>
      </w:r>
      <w:r>
        <w:rPr>
          <w:rFonts w:ascii="Arial" w:eastAsiaTheme="minorEastAsia" w:hAnsi="Arial" w:cs="Arial"/>
          <w:sz w:val="22"/>
          <w:szCs w:val="22"/>
        </w:rPr>
        <w:t xml:space="preserve"> the Keystone Building Business Case</w:t>
      </w:r>
      <w:r>
        <w:rPr>
          <w:rFonts w:ascii="Arial" w:hAnsi="Arial" w:cs="Arial"/>
          <w:sz w:val="22"/>
          <w:szCs w:val="22"/>
        </w:rPr>
        <w:t xml:space="preserve"> and </w:t>
      </w:r>
      <w:r w:rsidRPr="007214F3">
        <w:rPr>
          <w:rFonts w:ascii="Arial" w:eastAsiaTheme="minorEastAsia" w:hAnsi="Arial" w:cs="Arial"/>
          <w:sz w:val="22"/>
          <w:szCs w:val="22"/>
        </w:rPr>
        <w:t>Court’s thanks for the briefing were recorded.</w:t>
      </w:r>
      <w:r w:rsidRPr="001E2F38">
        <w:rPr>
          <w:rFonts w:ascii="Arial" w:eastAsiaTheme="minorEastAsia" w:hAnsi="Arial" w:cs="Arial"/>
          <w:sz w:val="22"/>
          <w:szCs w:val="22"/>
        </w:rPr>
        <w:t xml:space="preserve">  </w:t>
      </w:r>
    </w:p>
    <w:p w14:paraId="3224818F" w14:textId="77777777" w:rsidR="002C0502" w:rsidRPr="00B86A9B" w:rsidRDefault="002C0502" w:rsidP="002C0502">
      <w:pPr>
        <w:tabs>
          <w:tab w:val="left" w:pos="1425"/>
        </w:tabs>
        <w:jc w:val="both"/>
        <w:rPr>
          <w:rFonts w:ascii="Arial" w:eastAsiaTheme="minorEastAsia" w:hAnsi="Arial" w:cs="Arial"/>
          <w:sz w:val="22"/>
          <w:szCs w:val="22"/>
        </w:rPr>
      </w:pPr>
      <w:r>
        <w:rPr>
          <w:rFonts w:ascii="Arial" w:eastAsiaTheme="minorEastAsia" w:hAnsi="Arial" w:cs="Arial"/>
          <w:sz w:val="22"/>
          <w:szCs w:val="22"/>
        </w:rPr>
        <w:tab/>
      </w:r>
    </w:p>
    <w:p w14:paraId="1ACD9090" w14:textId="0B31BCFB" w:rsidR="002C0502" w:rsidRDefault="002C0502" w:rsidP="00FD1FB0">
      <w:pPr>
        <w:jc w:val="both"/>
        <w:rPr>
          <w:rFonts w:ascii="Arial" w:eastAsiaTheme="minorEastAsia" w:hAnsi="Arial" w:cs="Arial"/>
          <w:sz w:val="22"/>
          <w:szCs w:val="22"/>
        </w:rPr>
      </w:pPr>
      <w:r w:rsidRPr="00B86A9B">
        <w:rPr>
          <w:rFonts w:ascii="Arial" w:eastAsiaTheme="minorEastAsia" w:hAnsi="Arial" w:cs="Arial"/>
          <w:sz w:val="22"/>
          <w:szCs w:val="22"/>
        </w:rPr>
        <w:lastRenderedPageBreak/>
        <w:t xml:space="preserve">Court was reminded that papers and business were confidential. </w:t>
      </w:r>
    </w:p>
    <w:p w14:paraId="34278D98" w14:textId="77777777" w:rsidR="006718D7" w:rsidRPr="00B86A9B" w:rsidRDefault="006718D7" w:rsidP="00FD1FB0">
      <w:pPr>
        <w:jc w:val="both"/>
        <w:rPr>
          <w:rFonts w:ascii="Arial" w:eastAsiaTheme="minorEastAsia" w:hAnsi="Arial" w:cs="Arial"/>
          <w:sz w:val="22"/>
          <w:szCs w:val="22"/>
        </w:rPr>
      </w:pPr>
    </w:p>
    <w:p w14:paraId="5B2F9D2F" w14:textId="2858FF0D" w:rsidR="002C0502" w:rsidRPr="00B86A9B" w:rsidRDefault="002C0502" w:rsidP="002C0502">
      <w:pPr>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24</w:t>
      </w:r>
      <w:r w:rsidRPr="00B86A9B">
        <w:rPr>
          <w:rFonts w:ascii="Arial" w:eastAsiaTheme="minorEastAsia" w:hAnsi="Arial" w:cs="Arial"/>
          <w:b/>
          <w:bCs/>
          <w:sz w:val="22"/>
          <w:szCs w:val="22"/>
        </w:rPr>
        <w:t>/</w:t>
      </w:r>
      <w:r>
        <w:rPr>
          <w:rFonts w:ascii="Arial" w:eastAsiaTheme="minorEastAsia" w:hAnsi="Arial" w:cs="Arial"/>
          <w:b/>
          <w:bCs/>
          <w:sz w:val="22"/>
          <w:szCs w:val="22"/>
        </w:rPr>
        <w:t>05</w:t>
      </w:r>
      <w:r w:rsidRPr="00B86A9B">
        <w:rPr>
          <w:rFonts w:ascii="Arial" w:eastAsiaTheme="minorEastAsia" w:hAnsi="Arial" w:cs="Arial"/>
          <w:b/>
          <w:bCs/>
          <w:sz w:val="22"/>
          <w:szCs w:val="22"/>
        </w:rPr>
        <w:t xml:space="preserve">. Minutes of the meetings held on </w:t>
      </w:r>
      <w:r>
        <w:rPr>
          <w:rFonts w:ascii="Arial" w:eastAsiaTheme="minorEastAsia" w:hAnsi="Arial" w:cs="Arial"/>
          <w:b/>
          <w:bCs/>
          <w:sz w:val="22"/>
          <w:szCs w:val="22"/>
        </w:rPr>
        <w:t>Tuesday</w:t>
      </w:r>
      <w:r w:rsidRPr="00B86A9B">
        <w:rPr>
          <w:rFonts w:ascii="Arial" w:eastAsiaTheme="minorEastAsia" w:hAnsi="Arial" w:cs="Arial"/>
          <w:b/>
          <w:bCs/>
          <w:sz w:val="22"/>
          <w:szCs w:val="22"/>
        </w:rPr>
        <w:t xml:space="preserve"> </w:t>
      </w:r>
      <w:r>
        <w:rPr>
          <w:rFonts w:ascii="Arial" w:eastAsiaTheme="minorEastAsia" w:hAnsi="Arial" w:cs="Arial"/>
          <w:b/>
          <w:bCs/>
          <w:sz w:val="22"/>
          <w:szCs w:val="22"/>
        </w:rPr>
        <w:t>18 June</w:t>
      </w:r>
      <w:r w:rsidRPr="00B86A9B">
        <w:rPr>
          <w:rFonts w:ascii="Arial" w:eastAsiaTheme="minorEastAsia" w:hAnsi="Arial" w:cs="Arial"/>
          <w:b/>
          <w:bCs/>
          <w:sz w:val="22"/>
          <w:szCs w:val="22"/>
        </w:rPr>
        <w:t xml:space="preserve"> 202</w:t>
      </w:r>
      <w:r>
        <w:rPr>
          <w:rFonts w:ascii="Arial" w:eastAsiaTheme="minorEastAsia" w:hAnsi="Arial" w:cs="Arial"/>
          <w:b/>
          <w:bCs/>
          <w:sz w:val="22"/>
          <w:szCs w:val="22"/>
        </w:rPr>
        <w:t>4</w:t>
      </w:r>
    </w:p>
    <w:p w14:paraId="3990A75E" w14:textId="78B51DF9" w:rsidR="00057B67" w:rsidRPr="00057B67" w:rsidRDefault="002C0502" w:rsidP="00057B67">
      <w:pPr>
        <w:jc w:val="both"/>
        <w:rPr>
          <w:rFonts w:ascii="Arial" w:eastAsiaTheme="minorEastAsia" w:hAnsi="Arial" w:cs="Arial"/>
          <w:i/>
          <w:iCs/>
          <w:sz w:val="22"/>
          <w:szCs w:val="22"/>
        </w:rPr>
      </w:pPr>
      <w:r>
        <w:rPr>
          <w:rFonts w:ascii="Arial" w:eastAsiaTheme="minorEastAsia" w:hAnsi="Arial" w:cs="Arial"/>
          <w:sz w:val="22"/>
          <w:szCs w:val="22"/>
        </w:rPr>
        <w:t xml:space="preserve"> </w:t>
      </w:r>
    </w:p>
    <w:p w14:paraId="119630D8" w14:textId="77777777" w:rsidR="000F48FE" w:rsidRDefault="004E7667" w:rsidP="004E7667">
      <w:pPr>
        <w:spacing w:after="120"/>
        <w:jc w:val="both"/>
        <w:rPr>
          <w:rFonts w:ascii="Arial" w:eastAsiaTheme="minorEastAsia" w:hAnsi="Arial" w:cs="Arial"/>
          <w:sz w:val="22"/>
          <w:szCs w:val="22"/>
        </w:rPr>
      </w:pPr>
      <w:r>
        <w:rPr>
          <w:rFonts w:ascii="Arial" w:eastAsiaTheme="minorEastAsia" w:hAnsi="Arial" w:cs="Arial"/>
          <w:sz w:val="22"/>
          <w:szCs w:val="22"/>
        </w:rPr>
        <w:t>The Convener of Court reported tha</w:t>
      </w:r>
      <w:r w:rsidRPr="004E7667">
        <w:rPr>
          <w:rFonts w:ascii="Arial" w:eastAsiaTheme="minorEastAsia" w:hAnsi="Arial" w:cs="Arial"/>
          <w:sz w:val="22"/>
          <w:szCs w:val="22"/>
        </w:rPr>
        <w:t>t t</w:t>
      </w:r>
      <w:r w:rsidR="00057B67" w:rsidRPr="00057B67">
        <w:rPr>
          <w:rFonts w:ascii="Arial" w:eastAsiaTheme="minorEastAsia" w:hAnsi="Arial" w:cs="Arial"/>
          <w:sz w:val="22"/>
          <w:szCs w:val="22"/>
        </w:rPr>
        <w:t>here was concern from several members of Court that procedure was not followed both by not allowing a full discussion of the divestment item (CRT/2023/57.2) at Court on June 18</w:t>
      </w:r>
      <w:proofErr w:type="gramStart"/>
      <w:r w:rsidR="00057B67" w:rsidRPr="00057B67">
        <w:rPr>
          <w:rFonts w:ascii="Arial" w:eastAsiaTheme="minorEastAsia" w:hAnsi="Arial" w:cs="Arial"/>
          <w:sz w:val="22"/>
          <w:szCs w:val="22"/>
        </w:rPr>
        <w:t xml:space="preserve"> 2024</w:t>
      </w:r>
      <w:proofErr w:type="gramEnd"/>
      <w:r w:rsidR="00057B67" w:rsidRPr="00057B67">
        <w:rPr>
          <w:rFonts w:ascii="Arial" w:eastAsiaTheme="minorEastAsia" w:hAnsi="Arial" w:cs="Arial"/>
          <w:sz w:val="22"/>
          <w:szCs w:val="22"/>
        </w:rPr>
        <w:t xml:space="preserve"> and by not allowing some members to minute their disagreement with the decision on that item. </w:t>
      </w:r>
    </w:p>
    <w:p w14:paraId="14AA6378" w14:textId="182F4741" w:rsidR="00057B67" w:rsidRPr="00057B67" w:rsidRDefault="004E7667" w:rsidP="004E7667">
      <w:pPr>
        <w:spacing w:after="120"/>
        <w:jc w:val="both"/>
        <w:rPr>
          <w:rFonts w:ascii="Arial" w:eastAsiaTheme="minorEastAsia" w:hAnsi="Arial" w:cs="Arial"/>
          <w:sz w:val="22"/>
          <w:szCs w:val="22"/>
        </w:rPr>
      </w:pPr>
      <w:r>
        <w:rPr>
          <w:rFonts w:ascii="Arial" w:eastAsiaTheme="minorEastAsia" w:hAnsi="Arial" w:cs="Arial"/>
          <w:sz w:val="22"/>
          <w:szCs w:val="22"/>
        </w:rPr>
        <w:t xml:space="preserve">Following </w:t>
      </w:r>
      <w:proofErr w:type="gramStart"/>
      <w:r>
        <w:rPr>
          <w:rFonts w:ascii="Arial" w:eastAsiaTheme="minorEastAsia" w:hAnsi="Arial" w:cs="Arial"/>
          <w:sz w:val="22"/>
          <w:szCs w:val="22"/>
        </w:rPr>
        <w:t>discussion</w:t>
      </w:r>
      <w:proofErr w:type="gramEnd"/>
      <w:r>
        <w:rPr>
          <w:rFonts w:ascii="Arial" w:eastAsiaTheme="minorEastAsia" w:hAnsi="Arial" w:cs="Arial"/>
          <w:sz w:val="22"/>
          <w:szCs w:val="22"/>
        </w:rPr>
        <w:t xml:space="preserve"> it</w:t>
      </w:r>
      <w:r w:rsidR="000F48FE">
        <w:rPr>
          <w:rFonts w:ascii="Arial" w:eastAsiaTheme="minorEastAsia" w:hAnsi="Arial" w:cs="Arial"/>
          <w:sz w:val="22"/>
          <w:szCs w:val="22"/>
        </w:rPr>
        <w:t xml:space="preserve"> was</w:t>
      </w:r>
      <w:r>
        <w:rPr>
          <w:rFonts w:ascii="Arial" w:eastAsiaTheme="minorEastAsia" w:hAnsi="Arial" w:cs="Arial"/>
          <w:sz w:val="22"/>
          <w:szCs w:val="22"/>
        </w:rPr>
        <w:t xml:space="preserve"> agreed that m</w:t>
      </w:r>
      <w:r w:rsidR="00057B67" w:rsidRPr="00057B67">
        <w:rPr>
          <w:rFonts w:ascii="Arial" w:eastAsiaTheme="minorEastAsia" w:hAnsi="Arial" w:cs="Arial"/>
          <w:sz w:val="22"/>
          <w:szCs w:val="22"/>
        </w:rPr>
        <w:t xml:space="preserve">embers who were present and wanted to minute their disagreement to the decision </w:t>
      </w:r>
      <w:r>
        <w:rPr>
          <w:rFonts w:ascii="Arial" w:eastAsiaTheme="minorEastAsia" w:hAnsi="Arial" w:cs="Arial"/>
          <w:sz w:val="22"/>
          <w:szCs w:val="22"/>
        </w:rPr>
        <w:t>would be</w:t>
      </w:r>
      <w:r w:rsidR="00057B67" w:rsidRPr="00057B67">
        <w:rPr>
          <w:rFonts w:ascii="Arial" w:eastAsiaTheme="minorEastAsia" w:hAnsi="Arial" w:cs="Arial"/>
          <w:sz w:val="22"/>
          <w:szCs w:val="22"/>
        </w:rPr>
        <w:t xml:space="preserve"> added to the minutes</w:t>
      </w:r>
      <w:r>
        <w:rPr>
          <w:rFonts w:ascii="Arial" w:eastAsiaTheme="minorEastAsia" w:hAnsi="Arial" w:cs="Arial"/>
          <w:sz w:val="22"/>
          <w:szCs w:val="22"/>
        </w:rPr>
        <w:t xml:space="preserve"> of the current meeting. The Court members were:</w:t>
      </w:r>
    </w:p>
    <w:p w14:paraId="67B6BB6C" w14:textId="77777777" w:rsidR="00057B67" w:rsidRPr="00057B67" w:rsidRDefault="00057B67" w:rsidP="00057B67">
      <w:pPr>
        <w:spacing w:after="120"/>
        <w:jc w:val="both"/>
        <w:rPr>
          <w:rFonts w:ascii="Arial" w:eastAsiaTheme="minorEastAsia" w:hAnsi="Arial" w:cs="Arial"/>
          <w:sz w:val="22"/>
          <w:szCs w:val="22"/>
        </w:rPr>
      </w:pPr>
      <w:r w:rsidRPr="00057B67">
        <w:rPr>
          <w:rFonts w:ascii="Arial" w:eastAsiaTheme="minorEastAsia" w:hAnsi="Arial" w:cs="Arial"/>
          <w:sz w:val="22"/>
          <w:szCs w:val="22"/>
        </w:rPr>
        <w:t>Sarah Armstrong, Elected Academic Staff Member</w:t>
      </w:r>
    </w:p>
    <w:p w14:paraId="68410D5A" w14:textId="77777777" w:rsidR="00057B67" w:rsidRPr="00057B67" w:rsidRDefault="00057B67" w:rsidP="00057B67">
      <w:pPr>
        <w:spacing w:after="120"/>
        <w:jc w:val="both"/>
        <w:rPr>
          <w:rFonts w:ascii="Arial" w:eastAsiaTheme="minorEastAsia" w:hAnsi="Arial" w:cs="Arial"/>
          <w:sz w:val="22"/>
          <w:szCs w:val="22"/>
        </w:rPr>
      </w:pPr>
      <w:r w:rsidRPr="00057B67">
        <w:rPr>
          <w:rFonts w:ascii="Arial" w:eastAsiaTheme="minorEastAsia" w:hAnsi="Arial" w:cs="Arial"/>
          <w:sz w:val="22"/>
          <w:szCs w:val="22"/>
        </w:rPr>
        <w:t>Dan Haydon, Elected Academic Staff Member</w:t>
      </w:r>
    </w:p>
    <w:p w14:paraId="22AA1DD9" w14:textId="77777777" w:rsidR="00057B67" w:rsidRPr="00057B67" w:rsidRDefault="00057B67" w:rsidP="00057B67">
      <w:pPr>
        <w:spacing w:after="120"/>
        <w:jc w:val="both"/>
        <w:rPr>
          <w:rFonts w:ascii="Arial" w:eastAsiaTheme="minorEastAsia" w:hAnsi="Arial" w:cs="Arial"/>
          <w:sz w:val="22"/>
          <w:szCs w:val="22"/>
        </w:rPr>
      </w:pPr>
      <w:r w:rsidRPr="00057B67">
        <w:rPr>
          <w:rFonts w:ascii="Arial" w:eastAsiaTheme="minorEastAsia" w:hAnsi="Arial" w:cs="Arial"/>
          <w:sz w:val="22"/>
          <w:szCs w:val="22"/>
        </w:rPr>
        <w:t>Paula McKerrow, Trade Union Nominee</w:t>
      </w:r>
    </w:p>
    <w:p w14:paraId="7347D3BD" w14:textId="77777777" w:rsidR="00057B67" w:rsidRPr="00057B67" w:rsidRDefault="00057B67" w:rsidP="00057B67">
      <w:pPr>
        <w:spacing w:after="120"/>
        <w:jc w:val="both"/>
        <w:rPr>
          <w:rFonts w:ascii="Arial" w:eastAsiaTheme="minorEastAsia" w:hAnsi="Arial" w:cs="Arial"/>
          <w:sz w:val="22"/>
          <w:szCs w:val="22"/>
        </w:rPr>
      </w:pPr>
      <w:r w:rsidRPr="00057B67">
        <w:rPr>
          <w:rFonts w:ascii="Arial" w:eastAsiaTheme="minorEastAsia" w:hAnsi="Arial" w:cs="Arial"/>
          <w:sz w:val="22"/>
          <w:szCs w:val="22"/>
        </w:rPr>
        <w:t>Richard Reeve, Trade Union Nominee </w:t>
      </w:r>
    </w:p>
    <w:p w14:paraId="2592E58F" w14:textId="77777777" w:rsidR="00057B67" w:rsidRPr="00057B67" w:rsidRDefault="00057B67" w:rsidP="00057B67">
      <w:pPr>
        <w:spacing w:after="120"/>
        <w:jc w:val="both"/>
        <w:rPr>
          <w:rFonts w:ascii="Arial" w:eastAsiaTheme="minorEastAsia" w:hAnsi="Arial" w:cs="Arial"/>
          <w:sz w:val="22"/>
          <w:szCs w:val="22"/>
        </w:rPr>
      </w:pPr>
      <w:r w:rsidRPr="00057B67">
        <w:rPr>
          <w:rFonts w:ascii="Arial" w:eastAsiaTheme="minorEastAsia" w:hAnsi="Arial" w:cs="Arial"/>
          <w:sz w:val="22"/>
          <w:szCs w:val="22"/>
        </w:rPr>
        <w:t>Pablo Moran Ruiz, SRC Assessor</w:t>
      </w:r>
    </w:p>
    <w:p w14:paraId="7F01F419" w14:textId="68CD40A8" w:rsidR="004E7667" w:rsidRDefault="00057B67" w:rsidP="000F48FE">
      <w:pPr>
        <w:spacing w:after="120"/>
        <w:jc w:val="both"/>
        <w:rPr>
          <w:rFonts w:ascii="Arial" w:eastAsiaTheme="minorEastAsia" w:hAnsi="Arial" w:cs="Arial"/>
          <w:sz w:val="22"/>
          <w:szCs w:val="22"/>
        </w:rPr>
      </w:pPr>
      <w:r w:rsidRPr="00057B67">
        <w:rPr>
          <w:rFonts w:ascii="Arial" w:eastAsiaTheme="minorEastAsia" w:hAnsi="Arial" w:cs="Arial"/>
          <w:sz w:val="22"/>
          <w:szCs w:val="22"/>
        </w:rPr>
        <w:t>Hailie Pentleton, SRC President</w:t>
      </w:r>
      <w:r>
        <w:rPr>
          <w:rFonts w:ascii="Arial" w:eastAsiaTheme="minorEastAsia" w:hAnsi="Arial" w:cs="Arial"/>
          <w:sz w:val="22"/>
          <w:szCs w:val="22"/>
        </w:rPr>
        <w:t xml:space="preserve"> </w:t>
      </w:r>
    </w:p>
    <w:p w14:paraId="7AB87CAE" w14:textId="65A20BFA" w:rsidR="00057B67" w:rsidRPr="00B86A9B" w:rsidRDefault="004E7667" w:rsidP="004E7667">
      <w:pPr>
        <w:spacing w:after="120"/>
        <w:jc w:val="both"/>
        <w:rPr>
          <w:rFonts w:ascii="Arial" w:eastAsiaTheme="minorEastAsia" w:hAnsi="Arial" w:cs="Arial"/>
          <w:sz w:val="22"/>
          <w:szCs w:val="22"/>
        </w:rPr>
      </w:pPr>
      <w:r>
        <w:rPr>
          <w:rFonts w:ascii="Arial" w:eastAsiaTheme="minorEastAsia" w:hAnsi="Arial" w:cs="Arial"/>
          <w:sz w:val="22"/>
          <w:szCs w:val="22"/>
        </w:rPr>
        <w:t xml:space="preserve">Court also discussed other minor </w:t>
      </w:r>
      <w:proofErr w:type="gramStart"/>
      <w:r>
        <w:rPr>
          <w:rFonts w:ascii="Arial" w:eastAsiaTheme="minorEastAsia" w:hAnsi="Arial" w:cs="Arial"/>
          <w:sz w:val="22"/>
          <w:szCs w:val="22"/>
        </w:rPr>
        <w:t>amendments</w:t>
      </w:r>
      <w:proofErr w:type="gramEnd"/>
      <w:r>
        <w:rPr>
          <w:rFonts w:ascii="Arial" w:eastAsiaTheme="minorEastAsia" w:hAnsi="Arial" w:cs="Arial"/>
          <w:sz w:val="22"/>
          <w:szCs w:val="22"/>
        </w:rPr>
        <w:t xml:space="preserve"> and the</w:t>
      </w:r>
      <w:r w:rsidR="002C0502" w:rsidRPr="00B86A9B">
        <w:rPr>
          <w:rFonts w:ascii="Arial" w:eastAsiaTheme="minorEastAsia" w:hAnsi="Arial" w:cs="Arial"/>
          <w:sz w:val="22"/>
          <w:szCs w:val="22"/>
        </w:rPr>
        <w:t xml:space="preserve"> minutes were approved</w:t>
      </w:r>
      <w:r w:rsidR="00057B67">
        <w:rPr>
          <w:rFonts w:ascii="Arial" w:eastAsiaTheme="minorEastAsia" w:hAnsi="Arial" w:cs="Arial"/>
          <w:sz w:val="22"/>
          <w:szCs w:val="22"/>
        </w:rPr>
        <w:t xml:space="preserve"> for the meeting of 18 June 2024 </w:t>
      </w:r>
      <w:r>
        <w:rPr>
          <w:rFonts w:ascii="Arial" w:eastAsiaTheme="minorEastAsia" w:hAnsi="Arial" w:cs="Arial"/>
          <w:sz w:val="22"/>
          <w:szCs w:val="22"/>
        </w:rPr>
        <w:t>with these changes</w:t>
      </w:r>
      <w:r w:rsidR="00057B67">
        <w:rPr>
          <w:rFonts w:ascii="Arial" w:eastAsiaTheme="minorEastAsia" w:hAnsi="Arial" w:cs="Arial"/>
          <w:sz w:val="22"/>
          <w:szCs w:val="22"/>
        </w:rPr>
        <w:t xml:space="preserve">. </w:t>
      </w:r>
    </w:p>
    <w:p w14:paraId="4DA59125" w14:textId="77777777" w:rsidR="002C0502" w:rsidRPr="00B86A9B" w:rsidRDefault="002C0502" w:rsidP="002C0502">
      <w:pPr>
        <w:jc w:val="both"/>
        <w:rPr>
          <w:rFonts w:ascii="Arial" w:eastAsiaTheme="minorEastAsia" w:hAnsi="Arial" w:cs="Arial"/>
          <w:b/>
          <w:bCs/>
          <w:sz w:val="22"/>
          <w:szCs w:val="22"/>
        </w:rPr>
      </w:pPr>
    </w:p>
    <w:p w14:paraId="63BE132D" w14:textId="35E39297" w:rsidR="002C0502" w:rsidRPr="00B86A9B" w:rsidRDefault="002C0502" w:rsidP="002C0502">
      <w:pPr>
        <w:spacing w:after="240"/>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057B67">
        <w:rPr>
          <w:rFonts w:ascii="Arial" w:eastAsiaTheme="minorEastAsia" w:hAnsi="Arial" w:cs="Arial"/>
          <w:b/>
          <w:bCs/>
          <w:sz w:val="22"/>
          <w:szCs w:val="22"/>
        </w:rPr>
        <w:t>4</w:t>
      </w:r>
      <w:r w:rsidRPr="00B86A9B">
        <w:rPr>
          <w:rFonts w:ascii="Arial" w:eastAsiaTheme="minorEastAsia" w:hAnsi="Arial" w:cs="Arial"/>
          <w:b/>
          <w:bCs/>
          <w:sz w:val="22"/>
          <w:szCs w:val="22"/>
        </w:rPr>
        <w:t>/</w:t>
      </w:r>
      <w:r>
        <w:rPr>
          <w:rFonts w:ascii="Arial" w:eastAsiaTheme="minorEastAsia" w:hAnsi="Arial" w:cs="Arial"/>
          <w:b/>
          <w:bCs/>
          <w:sz w:val="22"/>
          <w:szCs w:val="22"/>
        </w:rPr>
        <w:t>0</w:t>
      </w:r>
      <w:r w:rsidR="00057B67">
        <w:rPr>
          <w:rFonts w:ascii="Arial" w:eastAsiaTheme="minorEastAsia" w:hAnsi="Arial" w:cs="Arial"/>
          <w:b/>
          <w:bCs/>
          <w:sz w:val="22"/>
          <w:szCs w:val="22"/>
        </w:rPr>
        <w:t>6</w:t>
      </w:r>
      <w:r w:rsidRPr="00B86A9B">
        <w:rPr>
          <w:rFonts w:ascii="Arial" w:eastAsiaTheme="minorEastAsia" w:hAnsi="Arial" w:cs="Arial"/>
          <w:b/>
          <w:bCs/>
          <w:sz w:val="22"/>
          <w:szCs w:val="22"/>
        </w:rPr>
        <w:t>. Matters Arising</w:t>
      </w:r>
    </w:p>
    <w:p w14:paraId="0DF2A448" w14:textId="77777777" w:rsidR="002C0502" w:rsidRDefault="002C0502" w:rsidP="002C0502">
      <w:pPr>
        <w:pStyle w:val="ItemText1"/>
        <w:spacing w:after="240"/>
        <w:ind w:left="0"/>
        <w:rPr>
          <w:rFonts w:ascii="Arial" w:hAnsi="Arial" w:cs="Arial"/>
          <w:color w:val="auto"/>
          <w:sz w:val="22"/>
          <w:szCs w:val="22"/>
        </w:rPr>
      </w:pPr>
      <w:r>
        <w:rPr>
          <w:rFonts w:ascii="Arial" w:hAnsi="Arial" w:cs="Arial"/>
          <w:color w:val="auto"/>
          <w:sz w:val="22"/>
          <w:szCs w:val="22"/>
        </w:rPr>
        <w:t>No substantive items were raised.</w:t>
      </w:r>
      <w:r w:rsidRPr="001E2F38">
        <w:rPr>
          <w:rFonts w:ascii="Arial" w:hAnsi="Arial" w:cs="Arial"/>
          <w:color w:val="auto"/>
          <w:sz w:val="22"/>
          <w:szCs w:val="22"/>
        </w:rPr>
        <w:t xml:space="preserve"> </w:t>
      </w:r>
    </w:p>
    <w:p w14:paraId="04CF4217" w14:textId="4F003034" w:rsidR="00057B67" w:rsidRPr="0081733C" w:rsidRDefault="00057B67" w:rsidP="00057B67">
      <w:pPr>
        <w:tabs>
          <w:tab w:val="left" w:pos="0"/>
        </w:tabs>
        <w:autoSpaceDE/>
        <w:autoSpaceDN/>
        <w:spacing w:after="120"/>
        <w:jc w:val="both"/>
        <w:rPr>
          <w:rFonts w:ascii="Arial" w:hAnsi="Arial" w:cs="Arial"/>
          <w:sz w:val="22"/>
          <w:szCs w:val="22"/>
        </w:rPr>
      </w:pPr>
      <w:r w:rsidRPr="00A4389D">
        <w:rPr>
          <w:rFonts w:ascii="Arial" w:eastAsiaTheme="minorEastAsia" w:hAnsi="Arial" w:cs="Arial"/>
          <w:b/>
          <w:bCs/>
          <w:sz w:val="22"/>
          <w:szCs w:val="22"/>
        </w:rPr>
        <w:t>CRT/2024/07. Keystone B</w:t>
      </w:r>
      <w:r>
        <w:rPr>
          <w:rFonts w:ascii="Arial" w:eastAsiaTheme="minorEastAsia" w:hAnsi="Arial" w:cs="Arial"/>
          <w:b/>
          <w:bCs/>
          <w:sz w:val="22"/>
          <w:szCs w:val="22"/>
        </w:rPr>
        <w:t>uilding Business Case</w:t>
      </w:r>
    </w:p>
    <w:p w14:paraId="12BB3B76" w14:textId="6FA6E774" w:rsidR="004E7667" w:rsidRDefault="00057B67" w:rsidP="004E7667">
      <w:pPr>
        <w:pStyle w:val="ItemText1"/>
        <w:spacing w:after="240"/>
        <w:ind w:left="0"/>
        <w:rPr>
          <w:rFonts w:ascii="Arial" w:hAnsi="Arial" w:cs="Arial"/>
          <w:color w:val="auto"/>
          <w:sz w:val="22"/>
          <w:szCs w:val="22"/>
        </w:rPr>
      </w:pPr>
      <w:r w:rsidRPr="00B3565B">
        <w:rPr>
          <w:rFonts w:ascii="Arial" w:hAnsi="Arial" w:cs="Arial"/>
          <w:bCs/>
          <w:sz w:val="22"/>
          <w:szCs w:val="22"/>
        </w:rPr>
        <w:t>Court received a presentation by Gregor Caldow, Executive Director of Finance</w:t>
      </w:r>
      <w:r w:rsidR="004E7667">
        <w:rPr>
          <w:rFonts w:ascii="Arial" w:hAnsi="Arial" w:cs="Arial"/>
          <w:bCs/>
          <w:sz w:val="22"/>
          <w:szCs w:val="22"/>
        </w:rPr>
        <w:t xml:space="preserve"> and </w:t>
      </w:r>
      <w:r w:rsidR="004E7667" w:rsidRPr="0008439D">
        <w:rPr>
          <w:rFonts w:ascii="Arial" w:hAnsi="Arial" w:cs="Arial"/>
          <w:sz w:val="22"/>
          <w:szCs w:val="22"/>
        </w:rPr>
        <w:t>Professor Frank Coton (</w:t>
      </w:r>
      <w:r w:rsidR="004E7667" w:rsidRPr="0008439D">
        <w:rPr>
          <w:rFonts w:ascii="Arial" w:hAnsi="Arial" w:cs="Arial"/>
          <w:sz w:val="22"/>
          <w:szCs w:val="22"/>
          <w:lang w:eastAsia="zh-CN"/>
        </w:rPr>
        <w:t>Senior Vice Principal and Deputy Vice Chancellor (Academic)</w:t>
      </w:r>
      <w:r w:rsidR="004E7667" w:rsidRPr="0008439D">
        <w:rPr>
          <w:rFonts w:ascii="Arial" w:hAnsi="Arial" w:cs="Arial"/>
          <w:color w:val="auto"/>
          <w:sz w:val="22"/>
          <w:szCs w:val="22"/>
        </w:rPr>
        <w:t>),</w:t>
      </w:r>
      <w:r w:rsidR="004E7667">
        <w:rPr>
          <w:rFonts w:ascii="Arial" w:hAnsi="Arial" w:cs="Arial"/>
          <w:color w:val="auto"/>
          <w:sz w:val="22"/>
          <w:szCs w:val="22"/>
        </w:rPr>
        <w:t xml:space="preserve"> on the business case for the Keystone Building. Court noted that they had received an earlier presentation on the proposal and the key points noted were:</w:t>
      </w:r>
    </w:p>
    <w:p w14:paraId="300CFFC2" w14:textId="0EFAF385" w:rsidR="004E7667" w:rsidRDefault="006718D7" w:rsidP="008005CC">
      <w:pPr>
        <w:pStyle w:val="ItemText1"/>
        <w:numPr>
          <w:ilvl w:val="0"/>
          <w:numId w:val="45"/>
        </w:numPr>
        <w:spacing w:after="0"/>
        <w:ind w:left="714" w:hanging="357"/>
        <w:rPr>
          <w:rFonts w:ascii="Arial" w:hAnsi="Arial" w:cs="Arial"/>
          <w:color w:val="auto"/>
          <w:sz w:val="22"/>
          <w:szCs w:val="22"/>
        </w:rPr>
      </w:pPr>
      <w:r>
        <w:rPr>
          <w:rFonts w:ascii="Arial" w:hAnsi="Arial" w:cs="Arial"/>
          <w:color w:val="auto"/>
          <w:sz w:val="22"/>
          <w:szCs w:val="22"/>
        </w:rPr>
        <w:t>T</w:t>
      </w:r>
      <w:r w:rsidR="004E7667" w:rsidRPr="004E7667">
        <w:rPr>
          <w:rFonts w:ascii="Arial" w:hAnsi="Arial" w:cs="Arial"/>
          <w:color w:val="auto"/>
          <w:sz w:val="22"/>
          <w:szCs w:val="22"/>
        </w:rPr>
        <w:t>he Keystone building represented an opportunity to deliver world</w:t>
      </w:r>
      <w:r w:rsidR="004E7667" w:rsidRPr="004E7667">
        <w:rPr>
          <w:rFonts w:ascii="Cambria Math" w:hAnsi="Cambria Math" w:cs="Cambria Math"/>
          <w:color w:val="auto"/>
          <w:sz w:val="22"/>
          <w:szCs w:val="22"/>
        </w:rPr>
        <w:t>‐</w:t>
      </w:r>
      <w:r w:rsidR="004E7667" w:rsidRPr="004E7667">
        <w:rPr>
          <w:rFonts w:ascii="Arial" w:hAnsi="Arial" w:cs="Arial"/>
          <w:color w:val="auto"/>
          <w:sz w:val="22"/>
          <w:szCs w:val="22"/>
        </w:rPr>
        <w:t xml:space="preserve">class facilities to accelerate the impact and growth of the institution at the same </w:t>
      </w:r>
      <w:r w:rsidR="004E7667">
        <w:rPr>
          <w:rFonts w:ascii="Arial" w:hAnsi="Arial" w:cs="Arial"/>
          <w:color w:val="auto"/>
          <w:sz w:val="22"/>
          <w:szCs w:val="22"/>
        </w:rPr>
        <w:t>ti</w:t>
      </w:r>
      <w:r w:rsidR="004E7667" w:rsidRPr="004E7667">
        <w:rPr>
          <w:rFonts w:ascii="Arial" w:hAnsi="Arial" w:cs="Arial"/>
          <w:color w:val="auto"/>
          <w:sz w:val="22"/>
          <w:szCs w:val="22"/>
        </w:rPr>
        <w:t>me as removing</w:t>
      </w:r>
      <w:r>
        <w:rPr>
          <w:rFonts w:ascii="Arial" w:hAnsi="Arial" w:cs="Arial"/>
          <w:color w:val="auto"/>
          <w:sz w:val="22"/>
          <w:szCs w:val="22"/>
        </w:rPr>
        <w:t xml:space="preserve"> estate</w:t>
      </w:r>
      <w:r w:rsidR="004E7667" w:rsidRPr="004E7667">
        <w:rPr>
          <w:rFonts w:ascii="Arial" w:hAnsi="Arial" w:cs="Arial"/>
          <w:color w:val="auto"/>
          <w:sz w:val="22"/>
          <w:szCs w:val="22"/>
        </w:rPr>
        <w:t xml:space="preserve"> liabili</w:t>
      </w:r>
      <w:r w:rsidR="004E7667">
        <w:rPr>
          <w:rFonts w:ascii="Arial" w:hAnsi="Arial" w:cs="Arial"/>
          <w:color w:val="auto"/>
          <w:sz w:val="22"/>
          <w:szCs w:val="22"/>
        </w:rPr>
        <w:t>t</w:t>
      </w:r>
      <w:r w:rsidR="004E7667" w:rsidRPr="004E7667">
        <w:rPr>
          <w:rFonts w:ascii="Arial" w:hAnsi="Arial" w:cs="Arial"/>
          <w:color w:val="auto"/>
          <w:sz w:val="22"/>
          <w:szCs w:val="22"/>
        </w:rPr>
        <w:t>ies and unlocking future opportuni</w:t>
      </w:r>
      <w:r w:rsidR="004E7667">
        <w:rPr>
          <w:rFonts w:ascii="Arial" w:hAnsi="Arial" w:cs="Arial"/>
          <w:color w:val="auto"/>
          <w:sz w:val="22"/>
          <w:szCs w:val="22"/>
        </w:rPr>
        <w:t>t</w:t>
      </w:r>
      <w:r w:rsidR="004E7667" w:rsidRPr="004E7667">
        <w:rPr>
          <w:rFonts w:ascii="Arial" w:hAnsi="Arial" w:cs="Arial"/>
          <w:color w:val="auto"/>
          <w:sz w:val="22"/>
          <w:szCs w:val="22"/>
        </w:rPr>
        <w:t>ies.</w:t>
      </w:r>
    </w:p>
    <w:p w14:paraId="01991745" w14:textId="34A0129A" w:rsidR="004E7667" w:rsidRDefault="004E7667" w:rsidP="008005CC">
      <w:pPr>
        <w:pStyle w:val="ItemText1"/>
        <w:numPr>
          <w:ilvl w:val="0"/>
          <w:numId w:val="45"/>
        </w:numPr>
        <w:spacing w:after="0"/>
        <w:ind w:left="714" w:hanging="357"/>
        <w:rPr>
          <w:rFonts w:ascii="Arial" w:hAnsi="Arial" w:cs="Arial"/>
          <w:color w:val="auto"/>
          <w:sz w:val="22"/>
          <w:szCs w:val="22"/>
        </w:rPr>
      </w:pPr>
      <w:r w:rsidRPr="004E7667">
        <w:rPr>
          <w:rFonts w:ascii="Arial" w:hAnsi="Arial" w:cs="Arial"/>
          <w:color w:val="auto"/>
          <w:sz w:val="22"/>
          <w:szCs w:val="22"/>
        </w:rPr>
        <w:t>Estates Commi</w:t>
      </w:r>
      <w:r>
        <w:rPr>
          <w:rFonts w:ascii="Arial" w:hAnsi="Arial" w:cs="Arial"/>
          <w:color w:val="auto"/>
          <w:sz w:val="22"/>
          <w:szCs w:val="22"/>
        </w:rPr>
        <w:t>tt</w:t>
      </w:r>
      <w:r w:rsidRPr="004E7667">
        <w:rPr>
          <w:rFonts w:ascii="Arial" w:hAnsi="Arial" w:cs="Arial"/>
          <w:color w:val="auto"/>
          <w:sz w:val="22"/>
          <w:szCs w:val="22"/>
        </w:rPr>
        <w:t>ee</w:t>
      </w:r>
      <w:r w:rsidR="008005CC">
        <w:rPr>
          <w:rFonts w:ascii="Arial" w:hAnsi="Arial" w:cs="Arial"/>
          <w:color w:val="auto"/>
          <w:sz w:val="22"/>
          <w:szCs w:val="22"/>
        </w:rPr>
        <w:t xml:space="preserve"> and Finance Committee</w:t>
      </w:r>
      <w:r w:rsidRPr="004E7667">
        <w:rPr>
          <w:rFonts w:ascii="Arial" w:hAnsi="Arial" w:cs="Arial"/>
          <w:color w:val="auto"/>
          <w:sz w:val="22"/>
          <w:szCs w:val="22"/>
        </w:rPr>
        <w:t xml:space="preserve"> w</w:t>
      </w:r>
      <w:r w:rsidR="008005CC">
        <w:rPr>
          <w:rFonts w:ascii="Arial" w:hAnsi="Arial" w:cs="Arial"/>
          <w:color w:val="auto"/>
          <w:sz w:val="22"/>
          <w:szCs w:val="22"/>
        </w:rPr>
        <w:t>ere both</w:t>
      </w:r>
      <w:r w:rsidRPr="004E7667">
        <w:rPr>
          <w:rFonts w:ascii="Arial" w:hAnsi="Arial" w:cs="Arial"/>
          <w:color w:val="auto"/>
          <w:sz w:val="22"/>
          <w:szCs w:val="22"/>
        </w:rPr>
        <w:t xml:space="preserve"> suppor</w:t>
      </w:r>
      <w:r>
        <w:rPr>
          <w:rFonts w:ascii="Arial" w:hAnsi="Arial" w:cs="Arial"/>
          <w:color w:val="auto"/>
          <w:sz w:val="22"/>
          <w:szCs w:val="22"/>
        </w:rPr>
        <w:t>ti</w:t>
      </w:r>
      <w:r w:rsidRPr="004E7667">
        <w:rPr>
          <w:rFonts w:ascii="Arial" w:hAnsi="Arial" w:cs="Arial"/>
          <w:color w:val="auto"/>
          <w:sz w:val="22"/>
          <w:szCs w:val="22"/>
        </w:rPr>
        <w:t>ve of the business case and externals reviews of the business case had also been undertaken by KMPG and an external Gateway review completed</w:t>
      </w:r>
      <w:r w:rsidR="008005CC">
        <w:rPr>
          <w:rFonts w:ascii="Arial" w:hAnsi="Arial" w:cs="Arial"/>
          <w:color w:val="auto"/>
          <w:sz w:val="22"/>
          <w:szCs w:val="22"/>
        </w:rPr>
        <w:t>.</w:t>
      </w:r>
    </w:p>
    <w:p w14:paraId="38F6B059" w14:textId="6D6AE409" w:rsidR="008005CC" w:rsidRDefault="002B29CC" w:rsidP="008005CC">
      <w:pPr>
        <w:pStyle w:val="ItemText1"/>
        <w:numPr>
          <w:ilvl w:val="0"/>
          <w:numId w:val="45"/>
        </w:numPr>
        <w:spacing w:after="0"/>
        <w:ind w:left="714" w:hanging="357"/>
        <w:rPr>
          <w:rFonts w:ascii="Arial" w:hAnsi="Arial" w:cs="Arial"/>
          <w:color w:val="auto"/>
          <w:sz w:val="22"/>
          <w:szCs w:val="22"/>
        </w:rPr>
      </w:pPr>
      <w:r>
        <w:rPr>
          <w:rFonts w:ascii="Arial" w:hAnsi="Arial" w:cs="Arial"/>
          <w:color w:val="auto"/>
          <w:sz w:val="22"/>
          <w:szCs w:val="22"/>
        </w:rPr>
        <w:t>An a</w:t>
      </w:r>
      <w:r w:rsidR="008005CC">
        <w:rPr>
          <w:rFonts w:ascii="Arial" w:hAnsi="Arial" w:cs="Arial"/>
          <w:color w:val="auto"/>
          <w:sz w:val="22"/>
          <w:szCs w:val="22"/>
        </w:rPr>
        <w:t>dditional s</w:t>
      </w:r>
      <w:r w:rsidR="008005CC" w:rsidRPr="008005CC">
        <w:rPr>
          <w:rFonts w:ascii="Arial" w:hAnsi="Arial" w:cs="Arial"/>
          <w:color w:val="auto"/>
          <w:sz w:val="22"/>
          <w:szCs w:val="22"/>
        </w:rPr>
        <w:t>tress scenario had been forecasted which had been based on a significant downturn.  The scenario was seen as unlikely but demonstrated the timing and level of savings that would be required to protect the institution</w:t>
      </w:r>
      <w:r w:rsidR="006718D7">
        <w:rPr>
          <w:rFonts w:ascii="Arial" w:hAnsi="Arial" w:cs="Arial"/>
          <w:color w:val="auto"/>
          <w:sz w:val="22"/>
          <w:szCs w:val="22"/>
        </w:rPr>
        <w:t xml:space="preserve"> in such a scenario</w:t>
      </w:r>
      <w:r w:rsidR="008005CC" w:rsidRPr="008005CC">
        <w:rPr>
          <w:rFonts w:ascii="Arial" w:hAnsi="Arial" w:cs="Arial"/>
          <w:color w:val="auto"/>
          <w:sz w:val="22"/>
          <w:szCs w:val="22"/>
        </w:rPr>
        <w:t>.  </w:t>
      </w:r>
    </w:p>
    <w:p w14:paraId="7FFE3F39" w14:textId="77777777" w:rsidR="003520C4" w:rsidRDefault="003520C4" w:rsidP="003520C4">
      <w:pPr>
        <w:pStyle w:val="ItemText1"/>
        <w:numPr>
          <w:ilvl w:val="0"/>
          <w:numId w:val="45"/>
        </w:numPr>
        <w:spacing w:after="0"/>
        <w:ind w:left="714" w:hanging="357"/>
        <w:rPr>
          <w:rFonts w:ascii="Arial" w:hAnsi="Arial" w:cs="Arial"/>
          <w:color w:val="auto"/>
          <w:sz w:val="22"/>
          <w:szCs w:val="22"/>
        </w:rPr>
      </w:pPr>
      <w:r>
        <w:rPr>
          <w:rFonts w:ascii="Arial" w:hAnsi="Arial" w:cs="Arial"/>
          <w:color w:val="auto"/>
          <w:sz w:val="22"/>
          <w:szCs w:val="22"/>
        </w:rPr>
        <w:t xml:space="preserve">The </w:t>
      </w:r>
      <w:r w:rsidRPr="003520C4">
        <w:rPr>
          <w:rFonts w:ascii="Arial" w:hAnsi="Arial" w:cs="Arial"/>
          <w:color w:val="auto"/>
          <w:sz w:val="22"/>
          <w:szCs w:val="22"/>
        </w:rPr>
        <w:t xml:space="preserve">building </w:t>
      </w:r>
      <w:r>
        <w:rPr>
          <w:rFonts w:ascii="Arial" w:hAnsi="Arial" w:cs="Arial"/>
          <w:color w:val="auto"/>
          <w:sz w:val="22"/>
          <w:szCs w:val="22"/>
        </w:rPr>
        <w:t xml:space="preserve">of </w:t>
      </w:r>
      <w:r w:rsidRPr="003520C4">
        <w:rPr>
          <w:rFonts w:ascii="Arial" w:hAnsi="Arial" w:cs="Arial"/>
          <w:color w:val="auto"/>
          <w:sz w:val="22"/>
          <w:szCs w:val="22"/>
        </w:rPr>
        <w:t xml:space="preserve">Keystone was key to ensuring the maintenance backlog could be addressed, it enabled further growth of the University and allowed the University to build its research power. </w:t>
      </w:r>
    </w:p>
    <w:p w14:paraId="5C2DBB64" w14:textId="592BCA57" w:rsidR="003520C4" w:rsidRDefault="003520C4" w:rsidP="003520C4">
      <w:pPr>
        <w:pStyle w:val="ItemText1"/>
        <w:numPr>
          <w:ilvl w:val="0"/>
          <w:numId w:val="45"/>
        </w:numPr>
        <w:spacing w:after="0"/>
        <w:ind w:left="714" w:hanging="357"/>
        <w:rPr>
          <w:rFonts w:ascii="Arial" w:hAnsi="Arial" w:cs="Arial"/>
          <w:color w:val="auto"/>
          <w:sz w:val="22"/>
          <w:szCs w:val="22"/>
        </w:rPr>
      </w:pPr>
      <w:r w:rsidRPr="003520C4">
        <w:rPr>
          <w:rFonts w:ascii="Arial" w:hAnsi="Arial" w:cs="Arial"/>
          <w:color w:val="auto"/>
          <w:sz w:val="22"/>
          <w:szCs w:val="22"/>
        </w:rPr>
        <w:t>The Keystone would also allow for a significantly improved student and staff experience through delivery of modern, flexible spaces in place of old buildings which have known issues impacting research, teaching and overall experience.</w:t>
      </w:r>
    </w:p>
    <w:p w14:paraId="35286E0D" w14:textId="77777777" w:rsidR="006A0B85" w:rsidRDefault="006A0B85" w:rsidP="003520C4">
      <w:pPr>
        <w:pStyle w:val="ItemText1"/>
        <w:spacing w:after="0"/>
        <w:ind w:left="0"/>
        <w:rPr>
          <w:rFonts w:ascii="Arial" w:hAnsi="Arial" w:cs="Arial"/>
          <w:color w:val="auto"/>
          <w:sz w:val="22"/>
          <w:szCs w:val="22"/>
        </w:rPr>
      </w:pPr>
    </w:p>
    <w:p w14:paraId="48B0AC24" w14:textId="4C5CE891" w:rsidR="006A0B85" w:rsidRDefault="006A0B85" w:rsidP="003520C4">
      <w:pPr>
        <w:pStyle w:val="ItemText1"/>
        <w:spacing w:after="0"/>
        <w:ind w:left="0"/>
        <w:rPr>
          <w:rFonts w:ascii="Arial" w:hAnsi="Arial" w:cs="Arial"/>
          <w:color w:val="auto"/>
          <w:sz w:val="22"/>
          <w:szCs w:val="22"/>
        </w:rPr>
      </w:pPr>
      <w:r>
        <w:rPr>
          <w:rFonts w:ascii="Arial" w:hAnsi="Arial" w:cs="Arial"/>
          <w:color w:val="auto"/>
          <w:sz w:val="22"/>
          <w:szCs w:val="22"/>
        </w:rPr>
        <w:t>During the discussion it was noted that it was important that investment in staff continued to be a key message along with maintenance of existing buildings when announcing the new building project</w:t>
      </w:r>
      <w:r w:rsidR="00593C4E">
        <w:rPr>
          <w:rFonts w:ascii="Arial" w:hAnsi="Arial" w:cs="Arial"/>
          <w:color w:val="auto"/>
          <w:sz w:val="22"/>
          <w:szCs w:val="22"/>
        </w:rPr>
        <w:t xml:space="preserve"> to ensure that staff understood the wider context. A query was also raised about </w:t>
      </w:r>
      <w:r w:rsidR="002B29CC">
        <w:rPr>
          <w:rFonts w:ascii="Arial" w:hAnsi="Arial" w:cs="Arial"/>
          <w:color w:val="auto"/>
          <w:sz w:val="22"/>
          <w:szCs w:val="22"/>
        </w:rPr>
        <w:t>sustainability and how this would impact on the Net</w:t>
      </w:r>
      <w:r w:rsidR="006718D7">
        <w:rPr>
          <w:rFonts w:ascii="Arial" w:hAnsi="Arial" w:cs="Arial"/>
          <w:color w:val="auto"/>
          <w:sz w:val="22"/>
          <w:szCs w:val="22"/>
        </w:rPr>
        <w:t xml:space="preserve"> </w:t>
      </w:r>
      <w:r w:rsidR="002B29CC">
        <w:rPr>
          <w:rFonts w:ascii="Arial" w:hAnsi="Arial" w:cs="Arial"/>
          <w:color w:val="auto"/>
          <w:sz w:val="22"/>
          <w:szCs w:val="22"/>
        </w:rPr>
        <w:t xml:space="preserve">Zero target for 2030. It was noted </w:t>
      </w:r>
      <w:r w:rsidR="002B29CC">
        <w:rPr>
          <w:rFonts w:ascii="Arial" w:hAnsi="Arial" w:cs="Arial"/>
          <w:color w:val="auto"/>
          <w:sz w:val="22"/>
          <w:szCs w:val="22"/>
        </w:rPr>
        <w:lastRenderedPageBreak/>
        <w:t xml:space="preserve">that Keystone would be the most efficient building on campus and would allow the University to exit buildings that were less efficient and were a poor working and teaching environment. It was also noted that the reporting for sustainability would be strengthened through Estates Committee and a proposal would be put forward </w:t>
      </w:r>
      <w:proofErr w:type="gramStart"/>
      <w:r w:rsidR="002B29CC">
        <w:rPr>
          <w:rFonts w:ascii="Arial" w:hAnsi="Arial" w:cs="Arial"/>
          <w:color w:val="auto"/>
          <w:sz w:val="22"/>
          <w:szCs w:val="22"/>
        </w:rPr>
        <w:t>in the near future</w:t>
      </w:r>
      <w:proofErr w:type="gramEnd"/>
      <w:r w:rsidR="002B29CC">
        <w:rPr>
          <w:rFonts w:ascii="Arial" w:hAnsi="Arial" w:cs="Arial"/>
          <w:color w:val="auto"/>
          <w:sz w:val="22"/>
          <w:szCs w:val="22"/>
        </w:rPr>
        <w:t xml:space="preserve"> for Court’s approval.</w:t>
      </w:r>
    </w:p>
    <w:p w14:paraId="4D9D62F1" w14:textId="77777777" w:rsidR="00593C4E" w:rsidRDefault="00593C4E" w:rsidP="003520C4">
      <w:pPr>
        <w:pStyle w:val="ItemText1"/>
        <w:spacing w:after="0"/>
        <w:ind w:left="0"/>
        <w:rPr>
          <w:rFonts w:ascii="Arial" w:hAnsi="Arial" w:cs="Arial"/>
          <w:color w:val="auto"/>
          <w:sz w:val="22"/>
          <w:szCs w:val="22"/>
        </w:rPr>
      </w:pPr>
    </w:p>
    <w:p w14:paraId="56F7E888" w14:textId="003E4819" w:rsidR="003520C4" w:rsidRDefault="003520C4" w:rsidP="003520C4">
      <w:pPr>
        <w:pStyle w:val="ItemText1"/>
        <w:spacing w:after="0"/>
        <w:ind w:left="0"/>
        <w:rPr>
          <w:rFonts w:ascii="Arial" w:hAnsi="Arial" w:cs="Arial"/>
          <w:color w:val="auto"/>
          <w:sz w:val="22"/>
          <w:szCs w:val="22"/>
        </w:rPr>
      </w:pPr>
      <w:r>
        <w:rPr>
          <w:rFonts w:ascii="Arial" w:hAnsi="Arial" w:cs="Arial"/>
          <w:color w:val="auto"/>
          <w:sz w:val="22"/>
          <w:szCs w:val="22"/>
        </w:rPr>
        <w:t>Court noted that the final price for the building was still to be confirmed and was due to be between £300 - £31</w:t>
      </w:r>
      <w:r w:rsidR="00A4389D">
        <w:rPr>
          <w:rFonts w:ascii="Arial" w:hAnsi="Arial" w:cs="Arial"/>
          <w:color w:val="auto"/>
          <w:sz w:val="22"/>
          <w:szCs w:val="22"/>
        </w:rPr>
        <w:t>3</w:t>
      </w:r>
      <w:r>
        <w:rPr>
          <w:rFonts w:ascii="Arial" w:hAnsi="Arial" w:cs="Arial"/>
          <w:color w:val="auto"/>
          <w:sz w:val="22"/>
          <w:szCs w:val="22"/>
        </w:rPr>
        <w:t xml:space="preserve">m. The final contract was due to be signed in the coming weeks and </w:t>
      </w:r>
      <w:r w:rsidR="00A4389D">
        <w:rPr>
          <w:rFonts w:ascii="Arial" w:hAnsi="Arial" w:cs="Arial"/>
          <w:color w:val="auto"/>
          <w:sz w:val="22"/>
          <w:szCs w:val="22"/>
        </w:rPr>
        <w:t xml:space="preserve">Court would be kept informed at each stage of the build due to the size and complexity of the project. </w:t>
      </w:r>
    </w:p>
    <w:p w14:paraId="7916C142" w14:textId="77777777" w:rsidR="00A4389D" w:rsidRDefault="00A4389D" w:rsidP="003520C4">
      <w:pPr>
        <w:pStyle w:val="ItemText1"/>
        <w:spacing w:after="0"/>
        <w:ind w:left="0"/>
        <w:rPr>
          <w:rFonts w:ascii="Arial" w:hAnsi="Arial" w:cs="Arial"/>
          <w:color w:val="auto"/>
          <w:sz w:val="22"/>
          <w:szCs w:val="22"/>
        </w:rPr>
      </w:pPr>
    </w:p>
    <w:p w14:paraId="36D090DF" w14:textId="60C336FB" w:rsidR="00A4389D" w:rsidRDefault="00A4389D" w:rsidP="003520C4">
      <w:pPr>
        <w:pStyle w:val="ItemText1"/>
        <w:spacing w:after="0"/>
        <w:ind w:left="0"/>
        <w:rPr>
          <w:rFonts w:ascii="Arial" w:hAnsi="Arial" w:cs="Arial"/>
          <w:color w:val="auto"/>
          <w:sz w:val="22"/>
          <w:szCs w:val="22"/>
        </w:rPr>
      </w:pPr>
      <w:r>
        <w:rPr>
          <w:rFonts w:ascii="Arial" w:hAnsi="Arial" w:cs="Arial"/>
          <w:color w:val="auto"/>
          <w:sz w:val="22"/>
          <w:szCs w:val="22"/>
        </w:rPr>
        <w:t>Court approved the business case for the Keystone Building with delegated authority for the finances only to a maximum of £313m to SMG.</w:t>
      </w:r>
    </w:p>
    <w:p w14:paraId="4C3C7508" w14:textId="77777777" w:rsidR="003520C4" w:rsidRPr="00CD0968" w:rsidRDefault="003520C4" w:rsidP="008005CC">
      <w:pPr>
        <w:pStyle w:val="ItemText1"/>
        <w:spacing w:after="0"/>
        <w:ind w:left="714"/>
        <w:rPr>
          <w:rFonts w:ascii="Arial" w:hAnsi="Arial" w:cs="Arial"/>
          <w:color w:val="auto"/>
          <w:sz w:val="22"/>
          <w:szCs w:val="22"/>
        </w:rPr>
      </w:pPr>
    </w:p>
    <w:p w14:paraId="30950618" w14:textId="784CB827" w:rsidR="002C0502" w:rsidRPr="0081733C" w:rsidRDefault="002C0502" w:rsidP="002C0502">
      <w:pPr>
        <w:tabs>
          <w:tab w:val="left" w:pos="0"/>
        </w:tabs>
        <w:autoSpaceDE/>
        <w:autoSpaceDN/>
        <w:spacing w:after="120"/>
        <w:jc w:val="both"/>
        <w:rPr>
          <w:rFonts w:ascii="Arial" w:hAnsi="Arial" w:cs="Arial"/>
          <w:sz w:val="22"/>
          <w:szCs w:val="22"/>
        </w:rPr>
      </w:pPr>
      <w:bookmarkStart w:id="1" w:name="_Hlk87269013"/>
      <w:bookmarkStart w:id="2" w:name="_Hlk148106457"/>
      <w:r w:rsidRPr="00645CCE">
        <w:rPr>
          <w:rFonts w:ascii="Arial" w:eastAsiaTheme="minorEastAsia" w:hAnsi="Arial" w:cs="Arial"/>
          <w:b/>
          <w:bCs/>
          <w:sz w:val="22"/>
          <w:szCs w:val="22"/>
        </w:rPr>
        <w:t>CRT/20</w:t>
      </w:r>
      <w:r>
        <w:rPr>
          <w:rFonts w:ascii="Arial" w:eastAsiaTheme="minorEastAsia" w:hAnsi="Arial" w:cs="Arial"/>
          <w:b/>
          <w:bCs/>
          <w:sz w:val="22"/>
          <w:szCs w:val="22"/>
        </w:rPr>
        <w:t>2</w:t>
      </w:r>
      <w:r w:rsidR="00057B67">
        <w:rPr>
          <w:rFonts w:ascii="Arial" w:eastAsiaTheme="minorEastAsia" w:hAnsi="Arial" w:cs="Arial"/>
          <w:b/>
          <w:bCs/>
          <w:sz w:val="22"/>
          <w:szCs w:val="22"/>
        </w:rPr>
        <w:t>4</w:t>
      </w:r>
      <w:r w:rsidRPr="00645CCE">
        <w:rPr>
          <w:rFonts w:ascii="Arial" w:eastAsiaTheme="minorEastAsia" w:hAnsi="Arial" w:cs="Arial"/>
          <w:b/>
          <w:bCs/>
          <w:sz w:val="22"/>
          <w:szCs w:val="22"/>
        </w:rPr>
        <w:t>/</w:t>
      </w:r>
      <w:r>
        <w:rPr>
          <w:rFonts w:ascii="Arial" w:eastAsiaTheme="minorEastAsia" w:hAnsi="Arial" w:cs="Arial"/>
          <w:b/>
          <w:bCs/>
          <w:sz w:val="22"/>
          <w:szCs w:val="22"/>
        </w:rPr>
        <w:t>0</w:t>
      </w:r>
      <w:r w:rsidR="00057B67">
        <w:rPr>
          <w:rFonts w:ascii="Arial" w:eastAsiaTheme="minorEastAsia" w:hAnsi="Arial" w:cs="Arial"/>
          <w:b/>
          <w:bCs/>
          <w:sz w:val="22"/>
          <w:szCs w:val="22"/>
        </w:rPr>
        <w:t>8</w:t>
      </w:r>
      <w:r>
        <w:rPr>
          <w:rFonts w:ascii="Arial" w:eastAsiaTheme="minorEastAsia" w:hAnsi="Arial" w:cs="Arial"/>
          <w:b/>
          <w:bCs/>
          <w:sz w:val="22"/>
          <w:szCs w:val="22"/>
        </w:rPr>
        <w:t>.</w:t>
      </w:r>
      <w:r w:rsidRPr="00645CCE">
        <w:rPr>
          <w:rFonts w:ascii="Arial" w:eastAsiaTheme="minorEastAsia" w:hAnsi="Arial" w:cs="Arial"/>
          <w:b/>
          <w:bCs/>
          <w:sz w:val="22"/>
          <w:szCs w:val="22"/>
        </w:rPr>
        <w:t xml:space="preserve"> University</w:t>
      </w:r>
      <w:r>
        <w:rPr>
          <w:rFonts w:ascii="Arial" w:eastAsiaTheme="minorEastAsia" w:hAnsi="Arial" w:cs="Arial"/>
          <w:b/>
          <w:bCs/>
          <w:sz w:val="22"/>
          <w:szCs w:val="22"/>
        </w:rPr>
        <w:t xml:space="preserve"> Risk Register</w:t>
      </w:r>
    </w:p>
    <w:p w14:paraId="60179970" w14:textId="233DFA60" w:rsidR="002C0502" w:rsidRDefault="002C0502" w:rsidP="002C0502">
      <w:pPr>
        <w:tabs>
          <w:tab w:val="left" w:pos="0"/>
        </w:tabs>
        <w:autoSpaceDE/>
        <w:autoSpaceDN/>
        <w:spacing w:after="240"/>
        <w:jc w:val="both"/>
        <w:rPr>
          <w:rFonts w:ascii="Arial" w:hAnsi="Arial" w:cs="Arial"/>
          <w:bCs/>
          <w:sz w:val="22"/>
          <w:szCs w:val="22"/>
        </w:rPr>
      </w:pPr>
      <w:bookmarkStart w:id="3" w:name="_Hlk87269054"/>
      <w:bookmarkEnd w:id="1"/>
      <w:r w:rsidRPr="00B3565B">
        <w:rPr>
          <w:rFonts w:ascii="Arial" w:hAnsi="Arial" w:cs="Arial"/>
          <w:bCs/>
          <w:sz w:val="22"/>
          <w:szCs w:val="22"/>
        </w:rPr>
        <w:t xml:space="preserve">Court received a presentation by Gregor Caldow, Executive Director of Finance on the updated Risk Register. </w:t>
      </w:r>
      <w:r>
        <w:rPr>
          <w:rFonts w:ascii="Arial" w:hAnsi="Arial" w:cs="Arial"/>
          <w:bCs/>
          <w:sz w:val="22"/>
          <w:szCs w:val="22"/>
        </w:rPr>
        <w:t xml:space="preserve">Court discussed the overview of the Risk Register and its role in the organisation’s risk management. The top risks included data governance, information security, climate change, geopolitical landscape, and operational aspects such as cash flow and campus development. </w:t>
      </w:r>
      <w:r w:rsidR="00057B67">
        <w:rPr>
          <w:rFonts w:ascii="Arial" w:hAnsi="Arial" w:cs="Arial"/>
          <w:bCs/>
          <w:sz w:val="22"/>
          <w:szCs w:val="22"/>
        </w:rPr>
        <w:t>It was agreed that the Risk Appetite would be circulated to Court members.</w:t>
      </w:r>
    </w:p>
    <w:p w14:paraId="04664BE9" w14:textId="35548629" w:rsidR="002C0502" w:rsidRDefault="00720B6B" w:rsidP="002C0502">
      <w:pPr>
        <w:tabs>
          <w:tab w:val="left" w:pos="0"/>
        </w:tabs>
        <w:autoSpaceDE/>
        <w:autoSpaceDN/>
        <w:spacing w:after="240"/>
        <w:jc w:val="both"/>
        <w:rPr>
          <w:rFonts w:ascii="Arial" w:hAnsi="Arial" w:cs="Arial"/>
          <w:bCs/>
          <w:sz w:val="22"/>
          <w:szCs w:val="22"/>
        </w:rPr>
      </w:pPr>
      <w:r>
        <w:rPr>
          <w:rFonts w:ascii="Arial" w:hAnsi="Arial" w:cs="Arial"/>
          <w:bCs/>
          <w:sz w:val="22"/>
          <w:szCs w:val="22"/>
        </w:rPr>
        <w:t>K</w:t>
      </w:r>
      <w:r w:rsidR="002C0502">
        <w:rPr>
          <w:rFonts w:ascii="Arial" w:hAnsi="Arial" w:cs="Arial"/>
          <w:bCs/>
          <w:sz w:val="22"/>
          <w:szCs w:val="22"/>
        </w:rPr>
        <w:t xml:space="preserve">ey areas noted were: </w:t>
      </w:r>
    </w:p>
    <w:p w14:paraId="539DDFB1" w14:textId="77BCDA78" w:rsidR="003F068B" w:rsidRPr="003F068B" w:rsidRDefault="003F068B" w:rsidP="007D10B6">
      <w:pPr>
        <w:pStyle w:val="ListParagraph"/>
        <w:widowControl w:val="0"/>
        <w:numPr>
          <w:ilvl w:val="0"/>
          <w:numId w:val="39"/>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Theme="minorBidi" w:eastAsiaTheme="minorEastAsia" w:hAnsiTheme="minorBidi" w:cstheme="minorBidi"/>
          <w:sz w:val="22"/>
          <w:szCs w:val="22"/>
        </w:rPr>
      </w:pPr>
      <w:r>
        <w:rPr>
          <w:rFonts w:ascii="Arial" w:hAnsi="Arial" w:cs="Arial"/>
          <w:bCs/>
          <w:sz w:val="22"/>
          <w:szCs w:val="22"/>
          <w:lang w:val="en-GB"/>
        </w:rPr>
        <w:t>R</w:t>
      </w:r>
      <w:proofErr w:type="spellStart"/>
      <w:r w:rsidR="00492D1E">
        <w:rPr>
          <w:rFonts w:ascii="Arial" w:hAnsi="Arial" w:cs="Arial"/>
          <w:bCs/>
          <w:sz w:val="22"/>
          <w:szCs w:val="22"/>
        </w:rPr>
        <w:t>eputation</w:t>
      </w:r>
      <w:proofErr w:type="spellEnd"/>
      <w:r>
        <w:rPr>
          <w:rFonts w:ascii="Arial" w:hAnsi="Arial" w:cs="Arial"/>
          <w:bCs/>
          <w:sz w:val="22"/>
          <w:szCs w:val="22"/>
        </w:rPr>
        <w:t xml:space="preserve"> management and the importance of embedding this across most risks and day to day operations</w:t>
      </w:r>
    </w:p>
    <w:p w14:paraId="71D30BC3" w14:textId="26C4EB7B" w:rsidR="007D10B6" w:rsidRPr="003F068B" w:rsidRDefault="003F068B" w:rsidP="007D10B6">
      <w:pPr>
        <w:pStyle w:val="ListParagraph"/>
        <w:widowControl w:val="0"/>
        <w:numPr>
          <w:ilvl w:val="0"/>
          <w:numId w:val="39"/>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Theme="minorBidi" w:eastAsiaTheme="minorEastAsia" w:hAnsiTheme="minorBidi" w:cstheme="minorBidi"/>
          <w:sz w:val="22"/>
          <w:szCs w:val="22"/>
        </w:rPr>
      </w:pPr>
      <w:r>
        <w:rPr>
          <w:rFonts w:ascii="Arial" w:hAnsi="Arial" w:cs="Arial"/>
          <w:bCs/>
          <w:sz w:val="22"/>
          <w:szCs w:val="22"/>
        </w:rPr>
        <w:t>Retention of academic staff was noted as a significant risk with concerns around the professorial zoning.</w:t>
      </w:r>
    </w:p>
    <w:p w14:paraId="3C4A6AE7" w14:textId="7D614932" w:rsidR="003F068B" w:rsidRPr="003F068B" w:rsidRDefault="003F068B" w:rsidP="007D10B6">
      <w:pPr>
        <w:pStyle w:val="ListParagraph"/>
        <w:widowControl w:val="0"/>
        <w:numPr>
          <w:ilvl w:val="0"/>
          <w:numId w:val="39"/>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Theme="minorBidi" w:eastAsiaTheme="minorEastAsia" w:hAnsiTheme="minorBidi" w:cstheme="minorBidi"/>
          <w:sz w:val="22"/>
          <w:szCs w:val="22"/>
        </w:rPr>
      </w:pPr>
      <w:r>
        <w:rPr>
          <w:rFonts w:ascii="Arial" w:hAnsi="Arial" w:cs="Arial"/>
          <w:bCs/>
          <w:sz w:val="22"/>
          <w:szCs w:val="22"/>
        </w:rPr>
        <w:t>Financial uncertainty across the HE Sector</w:t>
      </w:r>
    </w:p>
    <w:p w14:paraId="375FC0B5" w14:textId="663AEF3D" w:rsidR="003F068B" w:rsidRPr="003F068B" w:rsidRDefault="003F068B" w:rsidP="007D10B6">
      <w:pPr>
        <w:pStyle w:val="ListParagraph"/>
        <w:widowControl w:val="0"/>
        <w:numPr>
          <w:ilvl w:val="0"/>
          <w:numId w:val="39"/>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Theme="minorBidi" w:eastAsiaTheme="minorEastAsia" w:hAnsiTheme="minorBidi" w:cstheme="minorBidi"/>
          <w:sz w:val="22"/>
          <w:szCs w:val="22"/>
        </w:rPr>
      </w:pPr>
      <w:r>
        <w:rPr>
          <w:rFonts w:ascii="Arial" w:hAnsi="Arial" w:cs="Arial"/>
          <w:bCs/>
          <w:sz w:val="22"/>
          <w:szCs w:val="22"/>
        </w:rPr>
        <w:t xml:space="preserve">Student experience particularly in relation to the NSS </w:t>
      </w:r>
    </w:p>
    <w:p w14:paraId="52F17F8F" w14:textId="21AF8388" w:rsidR="003F068B" w:rsidRPr="00720B6B" w:rsidRDefault="003F068B" w:rsidP="007D10B6">
      <w:pPr>
        <w:pStyle w:val="ListParagraph"/>
        <w:widowControl w:val="0"/>
        <w:numPr>
          <w:ilvl w:val="0"/>
          <w:numId w:val="39"/>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Theme="minorBidi" w:eastAsiaTheme="minorEastAsia" w:hAnsiTheme="minorBidi" w:cstheme="minorBidi"/>
          <w:sz w:val="22"/>
          <w:szCs w:val="22"/>
        </w:rPr>
      </w:pPr>
      <w:r>
        <w:rPr>
          <w:rFonts w:ascii="Arial" w:hAnsi="Arial" w:cs="Arial"/>
          <w:bCs/>
          <w:sz w:val="22"/>
          <w:szCs w:val="22"/>
        </w:rPr>
        <w:t>Cyber security and risks of a major outage</w:t>
      </w:r>
    </w:p>
    <w:p w14:paraId="0119E9E5" w14:textId="77777777" w:rsidR="00720B6B" w:rsidRDefault="00720B6B" w:rsidP="00720B6B">
      <w:pPr>
        <w:tabs>
          <w:tab w:val="left" w:pos="0"/>
        </w:tabs>
        <w:spacing w:after="240"/>
        <w:contextualSpacing/>
        <w:jc w:val="both"/>
        <w:rPr>
          <w:rFonts w:asciiTheme="minorBidi" w:eastAsiaTheme="minorEastAsia" w:hAnsiTheme="minorBidi" w:cstheme="minorBidi"/>
          <w:sz w:val="22"/>
          <w:szCs w:val="22"/>
        </w:rPr>
      </w:pPr>
      <w:r>
        <w:rPr>
          <w:rFonts w:asciiTheme="minorBidi" w:eastAsiaTheme="minorEastAsia" w:hAnsiTheme="minorBidi" w:cstheme="minorBidi"/>
          <w:sz w:val="22"/>
          <w:szCs w:val="22"/>
        </w:rPr>
        <w:t xml:space="preserve">During the discussion Court noted the concerns in relation to staff retention and academic progression and that fair pay was a priority for the University. It was reported that there was </w:t>
      </w:r>
      <w:proofErr w:type="gramStart"/>
      <w:r>
        <w:rPr>
          <w:rFonts w:asciiTheme="minorBidi" w:eastAsiaTheme="minorEastAsia" w:hAnsiTheme="minorBidi" w:cstheme="minorBidi"/>
          <w:sz w:val="22"/>
          <w:szCs w:val="22"/>
        </w:rPr>
        <w:t>a number of</w:t>
      </w:r>
      <w:proofErr w:type="gramEnd"/>
      <w:r>
        <w:rPr>
          <w:rFonts w:asciiTheme="minorBidi" w:eastAsiaTheme="minorEastAsia" w:hAnsiTheme="minorBidi" w:cstheme="minorBidi"/>
          <w:sz w:val="22"/>
          <w:szCs w:val="22"/>
        </w:rPr>
        <w:t xml:space="preserve"> mechanisms for annual review and as with any due process there was risk that staff could be rezoned either up or down. It was acknowledged that some schools had a high </w:t>
      </w:r>
      <w:proofErr w:type="gramStart"/>
      <w:r>
        <w:rPr>
          <w:rFonts w:asciiTheme="minorBidi" w:eastAsiaTheme="minorEastAsia" w:hAnsiTheme="minorBidi" w:cstheme="minorBidi"/>
          <w:sz w:val="22"/>
          <w:szCs w:val="22"/>
        </w:rPr>
        <w:t>turnover</w:t>
      </w:r>
      <w:proofErr w:type="gramEnd"/>
      <w:r>
        <w:rPr>
          <w:rFonts w:asciiTheme="minorBidi" w:eastAsiaTheme="minorEastAsia" w:hAnsiTheme="minorBidi" w:cstheme="minorBidi"/>
          <w:sz w:val="22"/>
          <w:szCs w:val="22"/>
        </w:rPr>
        <w:t xml:space="preserve"> but it was important that there was balance as no turnover also created significant risks. </w:t>
      </w:r>
    </w:p>
    <w:p w14:paraId="489D9469" w14:textId="77777777" w:rsidR="00720B6B" w:rsidRDefault="00720B6B" w:rsidP="00720B6B">
      <w:pPr>
        <w:tabs>
          <w:tab w:val="left" w:pos="0"/>
        </w:tabs>
        <w:spacing w:after="240"/>
        <w:contextualSpacing/>
        <w:jc w:val="both"/>
        <w:rPr>
          <w:rFonts w:asciiTheme="minorBidi" w:eastAsiaTheme="minorEastAsia" w:hAnsiTheme="minorBidi" w:cstheme="minorBidi"/>
          <w:sz w:val="22"/>
          <w:szCs w:val="22"/>
        </w:rPr>
      </w:pPr>
    </w:p>
    <w:p w14:paraId="4C80DD17" w14:textId="1C3CA438" w:rsidR="00720B6B" w:rsidRDefault="00720B6B" w:rsidP="00720B6B">
      <w:pPr>
        <w:tabs>
          <w:tab w:val="left" w:pos="0"/>
        </w:tabs>
        <w:spacing w:after="240"/>
        <w:contextualSpacing/>
        <w:jc w:val="both"/>
        <w:rPr>
          <w:rFonts w:asciiTheme="minorBidi" w:eastAsiaTheme="minorEastAsia" w:hAnsiTheme="minorBidi" w:cstheme="minorBidi"/>
          <w:sz w:val="22"/>
          <w:szCs w:val="22"/>
        </w:rPr>
      </w:pPr>
      <w:r>
        <w:rPr>
          <w:rFonts w:asciiTheme="minorBidi" w:eastAsiaTheme="minorEastAsia" w:hAnsiTheme="minorBidi" w:cstheme="minorBidi"/>
          <w:sz w:val="22"/>
          <w:szCs w:val="22"/>
        </w:rPr>
        <w:t xml:space="preserve">Court agreed that the Chair of the People &amp; Organisation Development Committee, the Executive Director of P&amp;OD and the Deputy Vice-Chancellor (Academic) would review the current process. </w:t>
      </w:r>
    </w:p>
    <w:p w14:paraId="0984554F" w14:textId="77777777" w:rsidR="00720B6B" w:rsidRPr="00720B6B" w:rsidRDefault="00720B6B" w:rsidP="00720B6B">
      <w:pPr>
        <w:tabs>
          <w:tab w:val="left" w:pos="0"/>
        </w:tabs>
        <w:spacing w:after="240"/>
        <w:contextualSpacing/>
        <w:jc w:val="both"/>
        <w:rPr>
          <w:rFonts w:asciiTheme="minorBidi" w:eastAsiaTheme="minorEastAsia" w:hAnsiTheme="minorBidi" w:cstheme="minorBidi"/>
          <w:sz w:val="22"/>
          <w:szCs w:val="22"/>
        </w:rPr>
      </w:pPr>
    </w:p>
    <w:p w14:paraId="722D9789" w14:textId="281C365D" w:rsidR="002C0502" w:rsidRDefault="002C0502" w:rsidP="007D10B6">
      <w:pPr>
        <w:tabs>
          <w:tab w:val="left" w:pos="0"/>
        </w:tabs>
        <w:spacing w:after="240"/>
        <w:contextualSpacing/>
        <w:jc w:val="both"/>
        <w:rPr>
          <w:rFonts w:ascii="Arial" w:hAnsi="Arial" w:cs="Arial"/>
          <w:bCs/>
          <w:sz w:val="22"/>
          <w:szCs w:val="22"/>
        </w:rPr>
      </w:pPr>
      <w:r w:rsidRPr="007D10B6">
        <w:rPr>
          <w:rFonts w:ascii="Arial" w:hAnsi="Arial" w:cs="Arial"/>
          <w:bCs/>
          <w:sz w:val="22"/>
          <w:szCs w:val="22"/>
        </w:rPr>
        <w:t>Court approved the Risk Register for 202</w:t>
      </w:r>
      <w:r w:rsidR="00057B67" w:rsidRPr="007D10B6">
        <w:rPr>
          <w:rFonts w:ascii="Arial" w:hAnsi="Arial" w:cs="Arial"/>
          <w:bCs/>
          <w:sz w:val="22"/>
          <w:szCs w:val="22"/>
        </w:rPr>
        <w:t>4</w:t>
      </w:r>
      <w:r w:rsidRPr="007D10B6">
        <w:rPr>
          <w:rFonts w:ascii="Arial" w:hAnsi="Arial" w:cs="Arial"/>
          <w:bCs/>
          <w:sz w:val="22"/>
          <w:szCs w:val="22"/>
        </w:rPr>
        <w:t>/2</w:t>
      </w:r>
      <w:r w:rsidR="00057B67" w:rsidRPr="007D10B6">
        <w:rPr>
          <w:rFonts w:ascii="Arial" w:hAnsi="Arial" w:cs="Arial"/>
          <w:bCs/>
          <w:sz w:val="22"/>
          <w:szCs w:val="22"/>
        </w:rPr>
        <w:t>5</w:t>
      </w:r>
      <w:r w:rsidRPr="007D10B6">
        <w:rPr>
          <w:rFonts w:ascii="Arial" w:hAnsi="Arial" w:cs="Arial"/>
          <w:bCs/>
          <w:sz w:val="22"/>
          <w:szCs w:val="22"/>
        </w:rPr>
        <w:t>.</w:t>
      </w:r>
      <w:bookmarkEnd w:id="3"/>
    </w:p>
    <w:p w14:paraId="3AC30744" w14:textId="77777777" w:rsidR="007D10B6" w:rsidRPr="007D10B6" w:rsidRDefault="007D10B6" w:rsidP="007D10B6">
      <w:pPr>
        <w:tabs>
          <w:tab w:val="left" w:pos="0"/>
        </w:tabs>
        <w:spacing w:after="240"/>
        <w:contextualSpacing/>
        <w:jc w:val="both"/>
        <w:rPr>
          <w:rFonts w:asciiTheme="minorBidi" w:eastAsiaTheme="minorEastAsia" w:hAnsiTheme="minorBidi" w:cstheme="minorBidi"/>
          <w:sz w:val="22"/>
          <w:szCs w:val="22"/>
        </w:rPr>
      </w:pPr>
    </w:p>
    <w:p w14:paraId="5A1B4E71" w14:textId="35E94D99" w:rsidR="002C0502" w:rsidRPr="00DA1CBA" w:rsidRDefault="002C0502" w:rsidP="002C0502">
      <w:pPr>
        <w:tabs>
          <w:tab w:val="left" w:pos="0"/>
        </w:tabs>
        <w:autoSpaceDE/>
        <w:autoSpaceDN/>
        <w:spacing w:after="240"/>
        <w:jc w:val="both"/>
        <w:rPr>
          <w:rFonts w:ascii="Arial" w:eastAsiaTheme="minorEastAsia" w:hAnsi="Arial" w:cs="Arial"/>
          <w:b/>
          <w:bCs/>
          <w:sz w:val="22"/>
          <w:szCs w:val="22"/>
        </w:rPr>
      </w:pPr>
      <w:r w:rsidRPr="00264694">
        <w:rPr>
          <w:rFonts w:ascii="Arial" w:eastAsiaTheme="minorEastAsia" w:hAnsi="Arial" w:cs="Arial"/>
          <w:b/>
          <w:bCs/>
          <w:sz w:val="22"/>
          <w:szCs w:val="22"/>
        </w:rPr>
        <w:t>CRT/202</w:t>
      </w:r>
      <w:r w:rsidR="00720B6B" w:rsidRPr="00264694">
        <w:rPr>
          <w:rFonts w:ascii="Arial" w:eastAsiaTheme="minorEastAsia" w:hAnsi="Arial" w:cs="Arial"/>
          <w:b/>
          <w:bCs/>
          <w:sz w:val="22"/>
          <w:szCs w:val="22"/>
        </w:rPr>
        <w:t>4</w:t>
      </w:r>
      <w:r w:rsidRPr="00264694">
        <w:rPr>
          <w:rFonts w:ascii="Arial" w:eastAsiaTheme="minorEastAsia" w:hAnsi="Arial" w:cs="Arial"/>
          <w:b/>
          <w:bCs/>
          <w:sz w:val="22"/>
          <w:szCs w:val="22"/>
        </w:rPr>
        <w:t>/0</w:t>
      </w:r>
      <w:r w:rsidR="00720B6B" w:rsidRPr="00264694">
        <w:rPr>
          <w:rFonts w:ascii="Arial" w:eastAsiaTheme="minorEastAsia" w:hAnsi="Arial" w:cs="Arial"/>
          <w:b/>
          <w:bCs/>
          <w:sz w:val="22"/>
          <w:szCs w:val="22"/>
        </w:rPr>
        <w:t>9</w:t>
      </w:r>
      <w:r w:rsidRPr="00264694">
        <w:rPr>
          <w:rFonts w:ascii="Arial" w:eastAsiaTheme="minorEastAsia" w:hAnsi="Arial" w:cs="Arial"/>
          <w:b/>
          <w:bCs/>
          <w:sz w:val="22"/>
          <w:szCs w:val="22"/>
        </w:rPr>
        <w:t>. Report from the Principal</w:t>
      </w:r>
    </w:p>
    <w:p w14:paraId="649D1FA3" w14:textId="61EA513C" w:rsidR="002C0502" w:rsidRDefault="002C0502" w:rsidP="002C0502">
      <w:pPr>
        <w:autoSpaceDE/>
        <w:autoSpaceDN/>
        <w:jc w:val="both"/>
        <w:rPr>
          <w:rStyle w:val="fb-summary"/>
          <w:rFonts w:ascii="Arial" w:hAnsi="Arial" w:cs="Arial"/>
          <w:bCs/>
          <w:i/>
          <w:sz w:val="22"/>
          <w:szCs w:val="22"/>
        </w:rPr>
      </w:pPr>
      <w:r w:rsidRPr="00DA1CBA">
        <w:rPr>
          <w:rStyle w:val="fb-summary"/>
          <w:rFonts w:ascii="Arial" w:hAnsi="Arial" w:cs="Arial"/>
          <w:bCs/>
          <w:i/>
          <w:sz w:val="22"/>
          <w:szCs w:val="22"/>
        </w:rPr>
        <w:t>CRT/202</w:t>
      </w:r>
      <w:r w:rsidR="00720B6B">
        <w:rPr>
          <w:rStyle w:val="fb-summary"/>
          <w:rFonts w:ascii="Arial" w:hAnsi="Arial" w:cs="Arial"/>
          <w:bCs/>
          <w:i/>
          <w:sz w:val="22"/>
          <w:szCs w:val="22"/>
        </w:rPr>
        <w:t>4</w:t>
      </w:r>
      <w:r w:rsidRPr="00DA1CBA">
        <w:rPr>
          <w:rStyle w:val="fb-summary"/>
          <w:rFonts w:ascii="Arial" w:hAnsi="Arial" w:cs="Arial"/>
          <w:bCs/>
          <w:i/>
          <w:sz w:val="22"/>
          <w:szCs w:val="22"/>
        </w:rPr>
        <w:t>/0</w:t>
      </w:r>
      <w:r w:rsidR="00720B6B">
        <w:rPr>
          <w:rStyle w:val="fb-summary"/>
          <w:rFonts w:ascii="Arial" w:hAnsi="Arial" w:cs="Arial"/>
          <w:bCs/>
          <w:i/>
          <w:sz w:val="22"/>
          <w:szCs w:val="22"/>
        </w:rPr>
        <w:t>9</w:t>
      </w:r>
      <w:r w:rsidRPr="00DA1CBA">
        <w:rPr>
          <w:rStyle w:val="fb-summary"/>
          <w:rFonts w:ascii="Arial" w:hAnsi="Arial" w:cs="Arial"/>
          <w:bCs/>
          <w:i/>
          <w:sz w:val="22"/>
          <w:szCs w:val="22"/>
        </w:rPr>
        <w:t>.</w:t>
      </w:r>
      <w:r>
        <w:rPr>
          <w:rStyle w:val="fb-summary"/>
          <w:rFonts w:ascii="Arial" w:hAnsi="Arial" w:cs="Arial"/>
          <w:bCs/>
          <w:i/>
          <w:sz w:val="22"/>
          <w:szCs w:val="22"/>
        </w:rPr>
        <w:t>1</w:t>
      </w:r>
      <w:r w:rsidRPr="00DA1CBA">
        <w:rPr>
          <w:rStyle w:val="fb-summary"/>
          <w:rFonts w:ascii="Arial" w:hAnsi="Arial" w:cs="Arial"/>
          <w:bCs/>
          <w:i/>
          <w:sz w:val="22"/>
          <w:szCs w:val="22"/>
        </w:rPr>
        <w:t xml:space="preserve"> Principal</w:t>
      </w:r>
      <w:r>
        <w:rPr>
          <w:rStyle w:val="fb-summary"/>
          <w:rFonts w:ascii="Arial" w:hAnsi="Arial" w:cs="Arial"/>
          <w:bCs/>
          <w:i/>
          <w:sz w:val="22"/>
          <w:szCs w:val="22"/>
        </w:rPr>
        <w:t>’</w:t>
      </w:r>
      <w:r w:rsidRPr="00DA1CBA">
        <w:rPr>
          <w:rStyle w:val="fb-summary"/>
          <w:rFonts w:ascii="Arial" w:hAnsi="Arial" w:cs="Arial"/>
          <w:bCs/>
          <w:i/>
          <w:sz w:val="22"/>
          <w:szCs w:val="22"/>
        </w:rPr>
        <w:t>s Report</w:t>
      </w:r>
    </w:p>
    <w:p w14:paraId="7AD3A134" w14:textId="77777777" w:rsidR="002C0502" w:rsidRDefault="002C0502" w:rsidP="002C0502">
      <w:pPr>
        <w:autoSpaceDE/>
        <w:autoSpaceDN/>
        <w:jc w:val="both"/>
        <w:rPr>
          <w:rStyle w:val="fb-summary"/>
          <w:rFonts w:ascii="Arial" w:hAnsi="Arial" w:cs="Arial"/>
          <w:bCs/>
          <w:i/>
          <w:sz w:val="22"/>
          <w:szCs w:val="22"/>
        </w:rPr>
      </w:pPr>
    </w:p>
    <w:p w14:paraId="4A7D3897" w14:textId="656BF9DD" w:rsidR="002C0502" w:rsidRDefault="002C0502" w:rsidP="004B3066">
      <w:pPr>
        <w:pStyle w:val="Body"/>
        <w:pBdr>
          <w:top w:val="none" w:sz="0" w:space="0" w:color="auto"/>
          <w:left w:val="none" w:sz="0" w:space="0" w:color="auto"/>
          <w:bottom w:val="none" w:sz="0" w:space="0" w:color="auto"/>
          <w:right w:val="none" w:sz="0" w:space="0" w:color="auto"/>
        </w:pBdr>
        <w:spacing w:after="120"/>
        <w:jc w:val="both"/>
        <w:rPr>
          <w:rFonts w:asciiTheme="minorBidi" w:eastAsiaTheme="minorHAnsi" w:hAnsiTheme="minorBidi" w:cstheme="minorBidi"/>
          <w:color w:val="000009"/>
          <w:sz w:val="22"/>
          <w:szCs w:val="22"/>
          <w:lang w:eastAsia="en-US"/>
        </w:rPr>
      </w:pPr>
      <w:proofErr w:type="gramStart"/>
      <w:r w:rsidRPr="003E3148">
        <w:rPr>
          <w:rFonts w:ascii="Arial" w:eastAsiaTheme="minorEastAsia" w:hAnsi="Arial" w:cs="Arial"/>
          <w:sz w:val="22"/>
          <w:szCs w:val="22"/>
        </w:rPr>
        <w:t>Court</w:t>
      </w:r>
      <w:proofErr w:type="gramEnd"/>
      <w:r w:rsidRPr="003E3148">
        <w:rPr>
          <w:rFonts w:ascii="Arial" w:eastAsiaTheme="minorEastAsia" w:hAnsi="Arial" w:cs="Arial"/>
          <w:sz w:val="22"/>
          <w:szCs w:val="22"/>
        </w:rPr>
        <w:t xml:space="preserve"> noted the report from the </w:t>
      </w:r>
      <w:proofErr w:type="gramStart"/>
      <w:r>
        <w:rPr>
          <w:rFonts w:ascii="Arial" w:eastAsiaTheme="minorEastAsia" w:hAnsi="Arial" w:cs="Arial"/>
          <w:sz w:val="22"/>
          <w:szCs w:val="22"/>
        </w:rPr>
        <w:t>Principal</w:t>
      </w:r>
      <w:proofErr w:type="gramEnd"/>
      <w:r w:rsidRPr="003E3148">
        <w:rPr>
          <w:rFonts w:ascii="Arial" w:eastAsiaTheme="minorEastAsia" w:hAnsi="Arial" w:cs="Arial"/>
          <w:sz w:val="22"/>
          <w:szCs w:val="22"/>
        </w:rPr>
        <w:t xml:space="preserve">. </w:t>
      </w:r>
      <w:r>
        <w:rPr>
          <w:rFonts w:ascii="Arial" w:eastAsiaTheme="minorEastAsia" w:hAnsi="Arial" w:cs="Arial"/>
          <w:sz w:val="22"/>
          <w:szCs w:val="22"/>
        </w:rPr>
        <w:t xml:space="preserve"> Court discussed in detail </w:t>
      </w:r>
      <w:r>
        <w:rPr>
          <w:rFonts w:asciiTheme="minorBidi" w:eastAsiaTheme="minorHAnsi" w:hAnsiTheme="minorBidi" w:cstheme="minorBidi"/>
          <w:color w:val="000009"/>
          <w:sz w:val="22"/>
          <w:szCs w:val="22"/>
          <w:lang w:eastAsia="en-US"/>
        </w:rPr>
        <w:t>s</w:t>
      </w:r>
      <w:r w:rsidRPr="00530286">
        <w:rPr>
          <w:rFonts w:asciiTheme="minorBidi" w:eastAsiaTheme="minorHAnsi" w:hAnsiTheme="minorBidi" w:cstheme="minorBidi"/>
          <w:color w:val="000009"/>
          <w:sz w:val="22"/>
          <w:szCs w:val="22"/>
          <w:lang w:eastAsia="en-US"/>
        </w:rPr>
        <w:t xml:space="preserve">tudent </w:t>
      </w:r>
      <w:r>
        <w:rPr>
          <w:rFonts w:asciiTheme="minorBidi" w:eastAsiaTheme="minorHAnsi" w:hAnsiTheme="minorBidi" w:cstheme="minorBidi"/>
          <w:color w:val="000009"/>
          <w:sz w:val="22"/>
          <w:szCs w:val="22"/>
          <w:lang w:eastAsia="en-US"/>
        </w:rPr>
        <w:t>a</w:t>
      </w:r>
      <w:r w:rsidRPr="00530286">
        <w:rPr>
          <w:rFonts w:asciiTheme="minorBidi" w:eastAsiaTheme="minorHAnsi" w:hAnsiTheme="minorBidi" w:cstheme="minorBidi"/>
          <w:color w:val="000009"/>
          <w:sz w:val="22"/>
          <w:szCs w:val="22"/>
          <w:lang w:eastAsia="en-US"/>
        </w:rPr>
        <w:t>dmissions including International and RUK</w:t>
      </w:r>
      <w:r>
        <w:rPr>
          <w:rFonts w:asciiTheme="minorBidi" w:eastAsiaTheme="minorHAnsi" w:hAnsiTheme="minorBidi" w:cstheme="minorBidi"/>
          <w:color w:val="000009"/>
          <w:sz w:val="22"/>
          <w:szCs w:val="22"/>
          <w:lang w:eastAsia="en-US"/>
        </w:rPr>
        <w:t xml:space="preserve"> students. </w:t>
      </w:r>
      <w:r w:rsidR="00234E88" w:rsidRPr="00234E88">
        <w:rPr>
          <w:rFonts w:asciiTheme="minorBidi" w:eastAsiaTheme="minorHAnsi" w:hAnsiTheme="minorBidi" w:cstheme="minorBidi"/>
          <w:color w:val="000009"/>
          <w:sz w:val="22"/>
          <w:szCs w:val="22"/>
          <w:lang w:val="en-GB" w:eastAsia="en-US"/>
        </w:rPr>
        <w:t xml:space="preserve">Following the major challenges of the 2023 admissions cycle, </w:t>
      </w:r>
      <w:r w:rsidR="006718D7">
        <w:rPr>
          <w:rFonts w:asciiTheme="minorBidi" w:eastAsiaTheme="minorHAnsi" w:hAnsiTheme="minorBidi" w:cstheme="minorBidi"/>
          <w:color w:val="000009"/>
          <w:sz w:val="22"/>
          <w:szCs w:val="22"/>
          <w:lang w:val="en-GB" w:eastAsia="en-US"/>
        </w:rPr>
        <w:t xml:space="preserve">changes had been made </w:t>
      </w:r>
      <w:r w:rsidR="00234E88" w:rsidRPr="00234E88">
        <w:rPr>
          <w:rFonts w:asciiTheme="minorBidi" w:eastAsiaTheme="minorHAnsi" w:hAnsiTheme="minorBidi" w:cstheme="minorBidi"/>
          <w:color w:val="000009"/>
          <w:sz w:val="22"/>
          <w:szCs w:val="22"/>
          <w:lang w:val="en-GB" w:eastAsia="en-US"/>
        </w:rPr>
        <w:t>to maximise conversion of offers and respond to market demand</w:t>
      </w:r>
      <w:r w:rsidR="006718D7">
        <w:rPr>
          <w:rFonts w:asciiTheme="minorBidi" w:eastAsiaTheme="minorHAnsi" w:hAnsiTheme="minorBidi" w:cstheme="minorBidi"/>
          <w:color w:val="000009"/>
          <w:sz w:val="22"/>
          <w:szCs w:val="22"/>
          <w:lang w:val="en-GB" w:eastAsia="en-US"/>
        </w:rPr>
        <w:t xml:space="preserve">. </w:t>
      </w:r>
      <w:r w:rsidR="00234E88">
        <w:rPr>
          <w:rFonts w:asciiTheme="minorBidi" w:eastAsiaTheme="minorHAnsi" w:hAnsiTheme="minorBidi" w:cstheme="minorBidi"/>
          <w:color w:val="000009"/>
          <w:sz w:val="22"/>
          <w:szCs w:val="22"/>
          <w:lang w:val="en-GB" w:eastAsia="en-US"/>
        </w:rPr>
        <w:t xml:space="preserve">Court noted that </w:t>
      </w:r>
      <w:r w:rsidR="00234E88" w:rsidRPr="00234E88">
        <w:rPr>
          <w:rFonts w:asciiTheme="minorBidi" w:eastAsiaTheme="minorHAnsi" w:hAnsiTheme="minorBidi" w:cstheme="minorBidi"/>
          <w:color w:val="000009"/>
          <w:sz w:val="22"/>
          <w:szCs w:val="22"/>
          <w:lang w:val="en-GB" w:eastAsia="en-US"/>
        </w:rPr>
        <w:t>the latest Postgraduate Taught and Undergraduate admissions forecasts show</w:t>
      </w:r>
      <w:r w:rsidR="00234E88">
        <w:rPr>
          <w:rFonts w:asciiTheme="minorBidi" w:eastAsiaTheme="minorHAnsi" w:hAnsiTheme="minorBidi" w:cstheme="minorBidi"/>
          <w:color w:val="000009"/>
          <w:sz w:val="22"/>
          <w:szCs w:val="22"/>
          <w:lang w:val="en-GB" w:eastAsia="en-US"/>
        </w:rPr>
        <w:t>ed</w:t>
      </w:r>
      <w:r w:rsidR="00234E88" w:rsidRPr="00234E88">
        <w:rPr>
          <w:rFonts w:asciiTheme="minorBidi" w:eastAsiaTheme="minorHAnsi" w:hAnsiTheme="minorBidi" w:cstheme="minorBidi"/>
          <w:color w:val="000009"/>
          <w:sz w:val="22"/>
          <w:szCs w:val="22"/>
          <w:lang w:val="en-GB" w:eastAsia="en-US"/>
        </w:rPr>
        <w:t xml:space="preserve"> continued movement towards a relatively positive outcome, particularly given the increasingly competitive and challenging external environment.</w:t>
      </w:r>
      <w:r w:rsidR="00234E88" w:rsidRPr="00234E88">
        <w:rPr>
          <w:rFonts w:cs="Times New Roman"/>
          <w:color w:val="auto"/>
          <w:kern w:val="28"/>
          <w:sz w:val="20"/>
          <w:szCs w:val="20"/>
          <w:lang w:val="en-GB"/>
        </w:rPr>
        <w:t xml:space="preserve"> </w:t>
      </w:r>
      <w:r w:rsidR="00234E88" w:rsidRPr="00234E88">
        <w:rPr>
          <w:rFonts w:asciiTheme="minorBidi" w:eastAsiaTheme="minorHAnsi" w:hAnsiTheme="minorBidi" w:cstheme="minorBidi"/>
          <w:color w:val="000009"/>
          <w:sz w:val="22"/>
          <w:szCs w:val="22"/>
          <w:lang w:val="en-GB" w:eastAsia="en-US"/>
        </w:rPr>
        <w:t xml:space="preserve">As </w:t>
      </w:r>
      <w:r w:rsidR="00234E88" w:rsidRPr="00234E88">
        <w:rPr>
          <w:rFonts w:asciiTheme="minorBidi" w:eastAsiaTheme="minorHAnsi" w:hAnsiTheme="minorBidi" w:cstheme="minorBidi"/>
          <w:color w:val="000009"/>
          <w:sz w:val="22"/>
          <w:szCs w:val="22"/>
          <w:lang w:val="en-GB" w:eastAsia="en-US"/>
        </w:rPr>
        <w:lastRenderedPageBreak/>
        <w:t xml:space="preserve">forecast throughout 2024, </w:t>
      </w:r>
      <w:r w:rsidR="00234E88">
        <w:rPr>
          <w:rFonts w:asciiTheme="minorBidi" w:eastAsiaTheme="minorHAnsi" w:hAnsiTheme="minorBidi" w:cstheme="minorBidi"/>
          <w:color w:val="000009"/>
          <w:sz w:val="22"/>
          <w:szCs w:val="22"/>
          <w:lang w:val="en-GB" w:eastAsia="en-US"/>
        </w:rPr>
        <w:t xml:space="preserve">the </w:t>
      </w:r>
      <w:r w:rsidR="00234E88" w:rsidRPr="00234E88">
        <w:rPr>
          <w:rFonts w:asciiTheme="minorBidi" w:eastAsiaTheme="minorHAnsi" w:hAnsiTheme="minorBidi" w:cstheme="minorBidi"/>
          <w:color w:val="000009"/>
          <w:sz w:val="22"/>
          <w:szCs w:val="22"/>
          <w:lang w:val="en-GB" w:eastAsia="en-US"/>
        </w:rPr>
        <w:t>international recruitment position w</w:t>
      </w:r>
      <w:r w:rsidR="00234E88">
        <w:rPr>
          <w:rFonts w:asciiTheme="minorBidi" w:eastAsiaTheme="minorHAnsi" w:hAnsiTheme="minorBidi" w:cstheme="minorBidi"/>
          <w:color w:val="000009"/>
          <w:sz w:val="22"/>
          <w:szCs w:val="22"/>
          <w:lang w:val="en-GB" w:eastAsia="en-US"/>
        </w:rPr>
        <w:t>ould</w:t>
      </w:r>
      <w:r w:rsidR="00234E88" w:rsidRPr="00234E88">
        <w:rPr>
          <w:rFonts w:asciiTheme="minorBidi" w:eastAsiaTheme="minorHAnsi" w:hAnsiTheme="minorBidi" w:cstheme="minorBidi"/>
          <w:color w:val="000009"/>
          <w:sz w:val="22"/>
          <w:szCs w:val="22"/>
          <w:lang w:val="en-GB" w:eastAsia="en-US"/>
        </w:rPr>
        <w:t xml:space="preserve"> be considerably better than 2023, although still short of </w:t>
      </w:r>
      <w:r w:rsidR="00234E88">
        <w:rPr>
          <w:rFonts w:asciiTheme="minorBidi" w:eastAsiaTheme="minorHAnsi" w:hAnsiTheme="minorBidi" w:cstheme="minorBidi"/>
          <w:color w:val="000009"/>
          <w:sz w:val="22"/>
          <w:szCs w:val="22"/>
          <w:lang w:val="en-GB" w:eastAsia="en-US"/>
        </w:rPr>
        <w:t xml:space="preserve">the </w:t>
      </w:r>
      <w:r w:rsidR="00234E88" w:rsidRPr="00234E88">
        <w:rPr>
          <w:rFonts w:asciiTheme="minorBidi" w:eastAsiaTheme="minorHAnsi" w:hAnsiTheme="minorBidi" w:cstheme="minorBidi"/>
          <w:color w:val="000009"/>
          <w:sz w:val="22"/>
          <w:szCs w:val="22"/>
          <w:lang w:val="en-GB" w:eastAsia="en-US"/>
        </w:rPr>
        <w:t xml:space="preserve">overall target, </w:t>
      </w:r>
      <w:r w:rsidR="00234E88">
        <w:rPr>
          <w:rFonts w:asciiTheme="minorBidi" w:eastAsiaTheme="minorHAnsi" w:hAnsiTheme="minorBidi" w:cstheme="minorBidi"/>
          <w:color w:val="000009"/>
          <w:sz w:val="22"/>
          <w:szCs w:val="22"/>
          <w:lang w:val="en-GB" w:eastAsia="en-US"/>
        </w:rPr>
        <w:t>landing in</w:t>
      </w:r>
      <w:r w:rsidR="00234E88" w:rsidRPr="00234E88">
        <w:rPr>
          <w:rFonts w:asciiTheme="minorBidi" w:eastAsiaTheme="minorHAnsi" w:hAnsiTheme="minorBidi" w:cstheme="minorBidi"/>
          <w:color w:val="000009"/>
          <w:sz w:val="22"/>
          <w:szCs w:val="22"/>
          <w:lang w:val="en-GB" w:eastAsia="en-US"/>
        </w:rPr>
        <w:t xml:space="preserve"> between budget scenarios 1 and 2.</w:t>
      </w:r>
    </w:p>
    <w:p w14:paraId="49BAD132" w14:textId="39AC8DC4" w:rsidR="00234E88" w:rsidRDefault="00234E88" w:rsidP="002C0502">
      <w:pPr>
        <w:pStyle w:val="Body"/>
        <w:pBdr>
          <w:top w:val="none" w:sz="0" w:space="0" w:color="auto"/>
          <w:left w:val="none" w:sz="0" w:space="0" w:color="auto"/>
          <w:bottom w:val="none" w:sz="0" w:space="0" w:color="auto"/>
          <w:right w:val="none" w:sz="0" w:space="0" w:color="auto"/>
        </w:pBdr>
        <w:jc w:val="both"/>
        <w:rPr>
          <w:rFonts w:asciiTheme="minorBidi" w:eastAsiaTheme="minorHAnsi" w:hAnsiTheme="minorBidi" w:cstheme="minorBidi"/>
          <w:color w:val="000009"/>
          <w:sz w:val="22"/>
          <w:szCs w:val="22"/>
          <w:lang w:eastAsia="en-US"/>
        </w:rPr>
      </w:pPr>
      <w:proofErr w:type="gramStart"/>
      <w:r>
        <w:rPr>
          <w:rFonts w:asciiTheme="minorBidi" w:eastAsiaTheme="minorHAnsi" w:hAnsiTheme="minorBidi" w:cstheme="minorBidi"/>
          <w:color w:val="000009"/>
          <w:sz w:val="22"/>
          <w:szCs w:val="22"/>
          <w:lang w:eastAsia="en-US"/>
        </w:rPr>
        <w:t>Court</w:t>
      </w:r>
      <w:proofErr w:type="gramEnd"/>
      <w:r>
        <w:rPr>
          <w:rFonts w:asciiTheme="minorBidi" w:eastAsiaTheme="minorHAnsi" w:hAnsiTheme="minorBidi" w:cstheme="minorBidi"/>
          <w:color w:val="000009"/>
          <w:sz w:val="22"/>
          <w:szCs w:val="22"/>
          <w:lang w:eastAsia="en-US"/>
        </w:rPr>
        <w:t xml:space="preserve"> noted that there was significant instability in the student recruitment markets and that the University would need </w:t>
      </w:r>
      <w:r w:rsidR="00264694">
        <w:rPr>
          <w:rFonts w:asciiTheme="minorBidi" w:eastAsiaTheme="minorHAnsi" w:hAnsiTheme="minorBidi" w:cstheme="minorBidi"/>
          <w:color w:val="000009"/>
          <w:sz w:val="22"/>
          <w:szCs w:val="22"/>
          <w:lang w:eastAsia="en-US"/>
        </w:rPr>
        <w:t xml:space="preserve">to continue to improve the conversion rate </w:t>
      </w:r>
      <w:proofErr w:type="gramStart"/>
      <w:r w:rsidR="00264694">
        <w:rPr>
          <w:rFonts w:asciiTheme="minorBidi" w:eastAsiaTheme="minorHAnsi" w:hAnsiTheme="minorBidi" w:cstheme="minorBidi"/>
          <w:color w:val="000009"/>
          <w:sz w:val="22"/>
          <w:szCs w:val="22"/>
          <w:lang w:eastAsia="en-US"/>
        </w:rPr>
        <w:t>in order to</w:t>
      </w:r>
      <w:proofErr w:type="gramEnd"/>
      <w:r w:rsidR="00264694">
        <w:rPr>
          <w:rFonts w:asciiTheme="minorBidi" w:eastAsiaTheme="minorHAnsi" w:hAnsiTheme="minorBidi" w:cstheme="minorBidi"/>
          <w:color w:val="000009"/>
          <w:sz w:val="22"/>
          <w:szCs w:val="22"/>
          <w:lang w:eastAsia="en-US"/>
        </w:rPr>
        <w:t xml:space="preserve"> maintain their share of the market. </w:t>
      </w:r>
    </w:p>
    <w:p w14:paraId="0D5E6808" w14:textId="77777777" w:rsidR="00234E88" w:rsidRDefault="00234E88" w:rsidP="002C0502">
      <w:pPr>
        <w:pStyle w:val="Body"/>
        <w:pBdr>
          <w:top w:val="none" w:sz="0" w:space="0" w:color="auto"/>
          <w:left w:val="none" w:sz="0" w:space="0" w:color="auto"/>
          <w:bottom w:val="none" w:sz="0" w:space="0" w:color="auto"/>
          <w:right w:val="none" w:sz="0" w:space="0" w:color="auto"/>
        </w:pBdr>
        <w:jc w:val="both"/>
        <w:rPr>
          <w:rFonts w:asciiTheme="minorBidi" w:eastAsiaTheme="minorHAnsi" w:hAnsiTheme="minorBidi" w:cstheme="minorBidi"/>
          <w:color w:val="000009"/>
          <w:sz w:val="22"/>
          <w:szCs w:val="22"/>
          <w:lang w:eastAsia="en-US"/>
        </w:rPr>
      </w:pPr>
    </w:p>
    <w:p w14:paraId="727977B5" w14:textId="77777777" w:rsidR="002C0502" w:rsidRDefault="002C0502" w:rsidP="002C0502">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sz w:val="22"/>
          <w:szCs w:val="22"/>
        </w:rPr>
      </w:pPr>
      <w:r w:rsidRPr="003E3148">
        <w:rPr>
          <w:rFonts w:ascii="Arial" w:eastAsiaTheme="minorEastAsia" w:hAnsi="Arial" w:cs="Arial"/>
          <w:sz w:val="22"/>
          <w:szCs w:val="22"/>
        </w:rPr>
        <w:t xml:space="preserve">The following areas </w:t>
      </w:r>
      <w:r>
        <w:rPr>
          <w:rFonts w:ascii="Arial" w:eastAsiaTheme="minorEastAsia" w:hAnsi="Arial" w:cs="Arial"/>
          <w:sz w:val="22"/>
          <w:szCs w:val="22"/>
        </w:rPr>
        <w:t xml:space="preserve">from the Principal’s Report </w:t>
      </w:r>
      <w:r w:rsidRPr="003E3148">
        <w:rPr>
          <w:rFonts w:ascii="Arial" w:eastAsiaTheme="minorEastAsia" w:hAnsi="Arial" w:cs="Arial"/>
          <w:sz w:val="22"/>
          <w:szCs w:val="22"/>
        </w:rPr>
        <w:t>were</w:t>
      </w:r>
      <w:r>
        <w:rPr>
          <w:rFonts w:ascii="Arial" w:eastAsiaTheme="minorEastAsia" w:hAnsi="Arial" w:cs="Arial"/>
          <w:sz w:val="22"/>
          <w:szCs w:val="22"/>
        </w:rPr>
        <w:t xml:space="preserve"> also</w:t>
      </w:r>
      <w:r w:rsidRPr="003E3148">
        <w:rPr>
          <w:rFonts w:ascii="Arial" w:eastAsiaTheme="minorEastAsia" w:hAnsi="Arial" w:cs="Arial"/>
          <w:sz w:val="22"/>
          <w:szCs w:val="22"/>
        </w:rPr>
        <w:t xml:space="preserve"> </w:t>
      </w:r>
      <w:r>
        <w:rPr>
          <w:rFonts w:ascii="Arial" w:eastAsiaTheme="minorEastAsia" w:hAnsi="Arial" w:cs="Arial"/>
          <w:sz w:val="22"/>
          <w:szCs w:val="22"/>
        </w:rPr>
        <w:t>noted:</w:t>
      </w:r>
    </w:p>
    <w:p w14:paraId="3455BE67" w14:textId="77777777" w:rsidR="00492D1E" w:rsidRPr="00492D1E" w:rsidRDefault="00492D1E" w:rsidP="00492D1E">
      <w:pPr>
        <w:pStyle w:val="ListParagraph"/>
        <w:widowControl w:val="0"/>
        <w:numPr>
          <w:ilvl w:val="0"/>
          <w:numId w:val="40"/>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contextualSpacing/>
        <w:jc w:val="both"/>
        <w:rPr>
          <w:rFonts w:ascii="Arial" w:hAnsi="Arial" w:cs="Arial"/>
          <w:bCs/>
          <w:i/>
          <w:sz w:val="22"/>
          <w:szCs w:val="22"/>
        </w:rPr>
      </w:pPr>
      <w:r>
        <w:rPr>
          <w:rFonts w:asciiTheme="minorBidi" w:hAnsiTheme="minorBidi" w:cstheme="minorBidi"/>
          <w:bCs/>
          <w:sz w:val="22"/>
          <w:szCs w:val="22"/>
        </w:rPr>
        <w:t xml:space="preserve">General Election – the University had been working to </w:t>
      </w:r>
      <w:r w:rsidRPr="00492D1E">
        <w:rPr>
          <w:rFonts w:asciiTheme="minorBidi" w:hAnsiTheme="minorBidi" w:cstheme="minorBidi"/>
          <w:bCs/>
          <w:sz w:val="22"/>
          <w:szCs w:val="22"/>
          <w:lang w:val="en-GB"/>
        </w:rPr>
        <w:t xml:space="preserve">working to engage with new local representatives and Cabinet members with portfolios of greatest relevant to HE. </w:t>
      </w:r>
    </w:p>
    <w:p w14:paraId="4EBFD772" w14:textId="223CBF1F" w:rsidR="002C0502" w:rsidRPr="00492D1E" w:rsidRDefault="00492D1E" w:rsidP="00492D1E">
      <w:pPr>
        <w:pStyle w:val="ListParagraph"/>
        <w:widowControl w:val="0"/>
        <w:numPr>
          <w:ilvl w:val="0"/>
          <w:numId w:val="40"/>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contextualSpacing/>
        <w:jc w:val="both"/>
        <w:rPr>
          <w:rFonts w:ascii="Arial" w:hAnsi="Arial" w:cs="Arial"/>
          <w:bCs/>
          <w:i/>
          <w:sz w:val="22"/>
          <w:szCs w:val="22"/>
        </w:rPr>
      </w:pPr>
      <w:r>
        <w:rPr>
          <w:rFonts w:asciiTheme="minorBidi" w:hAnsiTheme="minorBidi" w:cstheme="minorBidi"/>
          <w:bCs/>
          <w:sz w:val="22"/>
          <w:szCs w:val="22"/>
          <w:lang w:val="en-GB"/>
        </w:rPr>
        <w:t>University rankings</w:t>
      </w:r>
      <w:r>
        <w:rPr>
          <w:rFonts w:asciiTheme="minorBidi" w:hAnsiTheme="minorBidi" w:cstheme="minorBidi"/>
          <w:bCs/>
          <w:sz w:val="22"/>
          <w:szCs w:val="22"/>
        </w:rPr>
        <w:t xml:space="preserve"> – </w:t>
      </w:r>
      <w:r w:rsidRPr="00492D1E">
        <w:rPr>
          <w:rFonts w:asciiTheme="minorBidi" w:hAnsiTheme="minorBidi" w:cstheme="minorBidi"/>
          <w:bCs/>
          <w:sz w:val="22"/>
          <w:szCs w:val="22"/>
          <w:lang w:val="en-GB"/>
        </w:rPr>
        <w:t>the Times Higher Education Impact Rankings – up one place to 12th in the world; the QS World University Rankings – down two places to 78th in the world and the Complete University Guide 2025 – down three places to 29th in the UK.</w:t>
      </w:r>
    </w:p>
    <w:p w14:paraId="4203F342" w14:textId="797FE3B5" w:rsidR="00492D1E" w:rsidRPr="00492D1E" w:rsidRDefault="00492D1E" w:rsidP="00492D1E">
      <w:pPr>
        <w:pStyle w:val="ListParagraph"/>
        <w:widowControl w:val="0"/>
        <w:numPr>
          <w:ilvl w:val="0"/>
          <w:numId w:val="40"/>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contextualSpacing/>
        <w:jc w:val="both"/>
        <w:rPr>
          <w:rFonts w:ascii="Arial" w:hAnsi="Arial" w:cs="Arial"/>
          <w:bCs/>
          <w:i/>
          <w:sz w:val="22"/>
          <w:szCs w:val="22"/>
        </w:rPr>
      </w:pPr>
      <w:r>
        <w:rPr>
          <w:rFonts w:asciiTheme="minorBidi" w:hAnsiTheme="minorBidi" w:cstheme="minorBidi"/>
          <w:bCs/>
          <w:sz w:val="22"/>
          <w:szCs w:val="22"/>
          <w:lang w:val="en-GB"/>
        </w:rPr>
        <w:t xml:space="preserve">NSS 2024 - </w:t>
      </w:r>
      <w:r w:rsidRPr="00492D1E">
        <w:rPr>
          <w:rFonts w:asciiTheme="minorBidi" w:hAnsiTheme="minorBidi" w:cstheme="minorBidi"/>
          <w:bCs/>
          <w:sz w:val="22"/>
          <w:szCs w:val="22"/>
          <w:lang w:val="en-GB"/>
        </w:rPr>
        <w:t xml:space="preserve">Despite some positives, SMG acknowledged that this </w:t>
      </w:r>
      <w:r>
        <w:rPr>
          <w:rFonts w:asciiTheme="minorBidi" w:hAnsiTheme="minorBidi" w:cstheme="minorBidi"/>
          <w:bCs/>
          <w:sz w:val="22"/>
          <w:szCs w:val="22"/>
          <w:lang w:val="en-GB"/>
        </w:rPr>
        <w:t>was</w:t>
      </w:r>
      <w:r w:rsidRPr="00492D1E">
        <w:rPr>
          <w:rFonts w:asciiTheme="minorBidi" w:hAnsiTheme="minorBidi" w:cstheme="minorBidi"/>
          <w:bCs/>
          <w:sz w:val="22"/>
          <w:szCs w:val="22"/>
          <w:lang w:val="en-GB"/>
        </w:rPr>
        <w:t xml:space="preserve"> a very disappointing set of results overall, particularly noting the further divergence in relation to Russell Group universities, and the clear shift in the direction of travel in contrast with comparator institutions. The trend over the last several years </w:t>
      </w:r>
      <w:r>
        <w:rPr>
          <w:rFonts w:asciiTheme="minorBidi" w:hAnsiTheme="minorBidi" w:cstheme="minorBidi"/>
          <w:bCs/>
          <w:sz w:val="22"/>
          <w:szCs w:val="22"/>
          <w:lang w:val="en-GB"/>
        </w:rPr>
        <w:t xml:space="preserve">was </w:t>
      </w:r>
      <w:r w:rsidRPr="00492D1E">
        <w:rPr>
          <w:rFonts w:asciiTheme="minorBidi" w:hAnsiTheme="minorBidi" w:cstheme="minorBidi"/>
          <w:bCs/>
          <w:sz w:val="22"/>
          <w:szCs w:val="22"/>
          <w:lang w:val="en-GB"/>
        </w:rPr>
        <w:t>concerning and needs to be addressed.</w:t>
      </w:r>
      <w:r w:rsidRPr="00492D1E">
        <w:rPr>
          <w:rFonts w:cs="Times New Roman"/>
          <w:color w:val="auto"/>
          <w:kern w:val="28"/>
          <w:sz w:val="20"/>
          <w:szCs w:val="20"/>
          <w:lang w:val="en-GB"/>
        </w:rPr>
        <w:t xml:space="preserve"> </w:t>
      </w:r>
      <w:r>
        <w:rPr>
          <w:rFonts w:asciiTheme="minorBidi" w:hAnsiTheme="minorBidi" w:cstheme="minorBidi"/>
          <w:bCs/>
          <w:sz w:val="22"/>
          <w:szCs w:val="22"/>
          <w:lang w:val="en-GB"/>
        </w:rPr>
        <w:t xml:space="preserve">A </w:t>
      </w:r>
      <w:r w:rsidRPr="00492D1E">
        <w:rPr>
          <w:rFonts w:asciiTheme="minorBidi" w:hAnsiTheme="minorBidi" w:cstheme="minorBidi"/>
          <w:bCs/>
          <w:sz w:val="22"/>
          <w:szCs w:val="22"/>
          <w:lang w:val="en-GB"/>
        </w:rPr>
        <w:t xml:space="preserve">proposal to establish a Task Group to set in train actions which could be taken at </w:t>
      </w:r>
      <w:proofErr w:type="gramStart"/>
      <w:r w:rsidRPr="00492D1E">
        <w:rPr>
          <w:rFonts w:asciiTheme="minorBidi" w:hAnsiTheme="minorBidi" w:cstheme="minorBidi"/>
          <w:bCs/>
          <w:sz w:val="22"/>
          <w:szCs w:val="22"/>
          <w:lang w:val="en-GB"/>
        </w:rPr>
        <w:t>University</w:t>
      </w:r>
      <w:proofErr w:type="gramEnd"/>
      <w:r w:rsidRPr="00492D1E">
        <w:rPr>
          <w:rFonts w:asciiTheme="minorBidi" w:hAnsiTheme="minorBidi" w:cstheme="minorBidi"/>
          <w:bCs/>
          <w:sz w:val="22"/>
          <w:szCs w:val="22"/>
          <w:lang w:val="en-GB"/>
        </w:rPr>
        <w:t xml:space="preserve"> level to address the challenges identified through the NSS</w:t>
      </w:r>
      <w:r>
        <w:rPr>
          <w:rFonts w:asciiTheme="minorBidi" w:hAnsiTheme="minorBidi" w:cstheme="minorBidi"/>
          <w:bCs/>
          <w:sz w:val="22"/>
          <w:szCs w:val="22"/>
          <w:lang w:val="en-GB"/>
        </w:rPr>
        <w:t xml:space="preserve"> had been approved. Court would be given a more detail</w:t>
      </w:r>
      <w:r w:rsidR="00CA2D7C">
        <w:rPr>
          <w:rFonts w:asciiTheme="minorBidi" w:hAnsiTheme="minorBidi" w:cstheme="minorBidi"/>
          <w:bCs/>
          <w:sz w:val="22"/>
          <w:szCs w:val="22"/>
          <w:lang w:val="en-GB"/>
        </w:rPr>
        <w:t>ed</w:t>
      </w:r>
      <w:r>
        <w:rPr>
          <w:rFonts w:asciiTheme="minorBidi" w:hAnsiTheme="minorBidi" w:cstheme="minorBidi"/>
          <w:bCs/>
          <w:sz w:val="22"/>
          <w:szCs w:val="22"/>
          <w:lang w:val="en-GB"/>
        </w:rPr>
        <w:t xml:space="preserve"> update at its next meeting in November.</w:t>
      </w:r>
    </w:p>
    <w:p w14:paraId="67440470" w14:textId="142F494A" w:rsidR="00492D1E" w:rsidRPr="00720B6B" w:rsidRDefault="00492D1E" w:rsidP="00492D1E">
      <w:pPr>
        <w:pStyle w:val="ListParagraph"/>
        <w:widowControl w:val="0"/>
        <w:numPr>
          <w:ilvl w:val="0"/>
          <w:numId w:val="40"/>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contextualSpacing/>
        <w:jc w:val="both"/>
        <w:rPr>
          <w:rFonts w:ascii="Arial" w:hAnsi="Arial" w:cs="Arial"/>
          <w:bCs/>
          <w:i/>
          <w:sz w:val="22"/>
          <w:szCs w:val="22"/>
        </w:rPr>
      </w:pPr>
      <w:r>
        <w:rPr>
          <w:rFonts w:asciiTheme="minorBidi" w:hAnsiTheme="minorBidi" w:cstheme="minorBidi"/>
          <w:bCs/>
          <w:sz w:val="22"/>
          <w:szCs w:val="22"/>
          <w:lang w:val="en-GB"/>
        </w:rPr>
        <w:t xml:space="preserve">Vice-Principal and Head of College for Science and Engineering – Court noted that </w:t>
      </w:r>
      <w:r w:rsidR="00234E88">
        <w:rPr>
          <w:rFonts w:asciiTheme="minorBidi" w:hAnsiTheme="minorBidi" w:cstheme="minorBidi"/>
          <w:bCs/>
          <w:sz w:val="22"/>
          <w:szCs w:val="22"/>
          <w:lang w:val="en-GB"/>
        </w:rPr>
        <w:t>Professor Eric Yeatman had been appointed and would take up the role on the 6 January 2025.</w:t>
      </w:r>
    </w:p>
    <w:p w14:paraId="7926160D" w14:textId="77777777" w:rsidR="00720B6B" w:rsidRPr="00DA1CBA" w:rsidRDefault="00720B6B" w:rsidP="00720B6B">
      <w:pPr>
        <w:pStyle w:val="ListParagraph"/>
        <w:widowControl w:val="0"/>
        <w:pBdr>
          <w:top w:val="none" w:sz="0" w:space="0" w:color="auto"/>
          <w:left w:val="none" w:sz="0" w:space="0" w:color="auto"/>
          <w:bottom w:val="none" w:sz="0" w:space="0" w:color="auto"/>
          <w:right w:val="none" w:sz="0" w:space="0" w:color="auto"/>
        </w:pBdr>
        <w:tabs>
          <w:tab w:val="left" w:pos="0"/>
        </w:tabs>
        <w:overflowPunct w:val="0"/>
        <w:adjustRightInd w:val="0"/>
        <w:spacing w:before="120" w:after="120"/>
        <w:contextualSpacing/>
        <w:jc w:val="both"/>
        <w:rPr>
          <w:rFonts w:ascii="Arial" w:hAnsi="Arial" w:cs="Arial"/>
          <w:bCs/>
          <w:i/>
          <w:sz w:val="22"/>
          <w:szCs w:val="22"/>
        </w:rPr>
      </w:pPr>
    </w:p>
    <w:p w14:paraId="30B91139" w14:textId="77777777" w:rsidR="002C0502" w:rsidRDefault="002C0502" w:rsidP="002C0502">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The Convener thanked the </w:t>
      </w:r>
      <w:proofErr w:type="gramStart"/>
      <w:r>
        <w:rPr>
          <w:rFonts w:ascii="Arial" w:hAnsi="Arial" w:cs="Arial"/>
          <w:sz w:val="22"/>
          <w:szCs w:val="22"/>
        </w:rPr>
        <w:t>Principal</w:t>
      </w:r>
      <w:proofErr w:type="gramEnd"/>
      <w:r>
        <w:rPr>
          <w:rFonts w:ascii="Arial" w:hAnsi="Arial" w:cs="Arial"/>
          <w:sz w:val="22"/>
          <w:szCs w:val="22"/>
        </w:rPr>
        <w:t xml:space="preserve"> for the update.</w:t>
      </w:r>
    </w:p>
    <w:p w14:paraId="46D68542" w14:textId="77777777" w:rsidR="002C0502" w:rsidRPr="007E7B45" w:rsidRDefault="002C0502" w:rsidP="002C0502">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2EC30EBE" w14:textId="3C4606CA" w:rsidR="002C0502" w:rsidRPr="009C2E74" w:rsidRDefault="002C0502" w:rsidP="002C0502">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b/>
          <w:bCs/>
          <w:sz w:val="22"/>
          <w:szCs w:val="22"/>
        </w:rPr>
      </w:pPr>
      <w:r w:rsidRPr="009C2E74">
        <w:rPr>
          <w:rFonts w:ascii="Arial" w:eastAsiaTheme="minorEastAsia" w:hAnsi="Arial" w:cs="Arial"/>
          <w:b/>
          <w:bCs/>
          <w:sz w:val="22"/>
          <w:szCs w:val="22"/>
        </w:rPr>
        <w:t>CRT/202</w:t>
      </w:r>
      <w:r w:rsidR="00720B6B" w:rsidRPr="009C2E74">
        <w:rPr>
          <w:rFonts w:ascii="Arial" w:eastAsiaTheme="minorEastAsia" w:hAnsi="Arial" w:cs="Arial"/>
          <w:b/>
          <w:bCs/>
          <w:sz w:val="22"/>
          <w:szCs w:val="22"/>
        </w:rPr>
        <w:t>4</w:t>
      </w:r>
      <w:r w:rsidRPr="009C2E74">
        <w:rPr>
          <w:rFonts w:ascii="Arial" w:eastAsiaTheme="minorEastAsia" w:hAnsi="Arial" w:cs="Arial"/>
          <w:b/>
          <w:bCs/>
          <w:sz w:val="22"/>
          <w:szCs w:val="22"/>
        </w:rPr>
        <w:t>/</w:t>
      </w:r>
      <w:r w:rsidR="00720B6B" w:rsidRPr="009C2E74">
        <w:rPr>
          <w:rFonts w:ascii="Arial" w:eastAsiaTheme="minorEastAsia" w:hAnsi="Arial" w:cs="Arial"/>
          <w:b/>
          <w:bCs/>
          <w:sz w:val="22"/>
          <w:szCs w:val="22"/>
        </w:rPr>
        <w:t>10</w:t>
      </w:r>
      <w:r w:rsidRPr="009C2E74">
        <w:rPr>
          <w:rFonts w:ascii="Arial" w:eastAsiaTheme="minorEastAsia" w:hAnsi="Arial" w:cs="Arial"/>
          <w:b/>
          <w:bCs/>
          <w:sz w:val="22"/>
          <w:szCs w:val="22"/>
        </w:rPr>
        <w:t xml:space="preserve">. Report from the University Secretary </w:t>
      </w:r>
    </w:p>
    <w:p w14:paraId="0C1959BB" w14:textId="14104E1A" w:rsidR="002C0502" w:rsidRPr="009C2E74" w:rsidRDefault="002C0502" w:rsidP="002C0502">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sz w:val="22"/>
          <w:szCs w:val="22"/>
        </w:rPr>
      </w:pPr>
      <w:r w:rsidRPr="009C2E74">
        <w:rPr>
          <w:rFonts w:ascii="Arial" w:eastAsiaTheme="minorEastAsia" w:hAnsi="Arial" w:cs="Arial"/>
          <w:sz w:val="22"/>
          <w:szCs w:val="22"/>
        </w:rPr>
        <w:t xml:space="preserve">Court noted the report from the University Secretary – Paper </w:t>
      </w:r>
      <w:r w:rsidR="000D31D4" w:rsidRPr="009C2E74">
        <w:rPr>
          <w:rFonts w:ascii="Arial" w:eastAsiaTheme="minorEastAsia" w:hAnsi="Arial" w:cs="Arial"/>
          <w:sz w:val="22"/>
          <w:szCs w:val="22"/>
        </w:rPr>
        <w:t>7</w:t>
      </w:r>
      <w:r w:rsidRPr="009C2E74">
        <w:rPr>
          <w:rFonts w:ascii="Arial" w:eastAsiaTheme="minorEastAsia" w:hAnsi="Arial" w:cs="Arial"/>
          <w:sz w:val="22"/>
          <w:szCs w:val="22"/>
        </w:rPr>
        <w:t>. The following areas were discussed in further detail.</w:t>
      </w:r>
    </w:p>
    <w:p w14:paraId="43941215" w14:textId="4129683D" w:rsidR="002C0502" w:rsidRPr="006A4174" w:rsidRDefault="002C0502" w:rsidP="002C0502">
      <w:pPr>
        <w:pStyle w:val="SectText2"/>
        <w:ind w:left="539" w:right="-284" w:hanging="539"/>
        <w:rPr>
          <w:rFonts w:ascii="Arial" w:hAnsi="Arial" w:cs="Arial"/>
          <w:bCs/>
          <w:i/>
          <w:iCs/>
          <w:szCs w:val="22"/>
        </w:rPr>
      </w:pPr>
      <w:r w:rsidRPr="009C2E74">
        <w:rPr>
          <w:rFonts w:ascii="Arial" w:hAnsi="Arial" w:cs="Arial"/>
          <w:i/>
          <w:iCs/>
          <w:szCs w:val="22"/>
        </w:rPr>
        <w:t>CRT</w:t>
      </w:r>
      <w:r w:rsidR="000D31D4" w:rsidRPr="009C2E74">
        <w:rPr>
          <w:rFonts w:ascii="Arial" w:hAnsi="Arial" w:cs="Arial"/>
          <w:i/>
          <w:iCs/>
          <w:szCs w:val="22"/>
        </w:rPr>
        <w:t>/</w:t>
      </w:r>
      <w:r w:rsidRPr="009C2E74">
        <w:rPr>
          <w:rFonts w:ascii="Arial" w:hAnsi="Arial" w:cs="Arial"/>
          <w:i/>
          <w:iCs/>
          <w:szCs w:val="22"/>
        </w:rPr>
        <w:t>202</w:t>
      </w:r>
      <w:r w:rsidR="000D31D4" w:rsidRPr="009C2E74">
        <w:rPr>
          <w:rFonts w:ascii="Arial" w:hAnsi="Arial" w:cs="Arial"/>
          <w:i/>
          <w:iCs/>
          <w:szCs w:val="22"/>
        </w:rPr>
        <w:t>4/10</w:t>
      </w:r>
      <w:r w:rsidRPr="009C2E74">
        <w:rPr>
          <w:rFonts w:ascii="Arial" w:hAnsi="Arial" w:cs="Arial"/>
          <w:i/>
          <w:iCs/>
          <w:szCs w:val="22"/>
        </w:rPr>
        <w:t xml:space="preserve">.1 </w:t>
      </w:r>
      <w:r w:rsidR="000D31D4" w:rsidRPr="009C2E74">
        <w:rPr>
          <w:rFonts w:asciiTheme="minorBidi" w:hAnsiTheme="minorBidi" w:cstheme="minorBidi"/>
          <w:i/>
          <w:iCs/>
          <w:szCs w:val="22"/>
        </w:rPr>
        <w:t>Organisa</w:t>
      </w:r>
      <w:r w:rsidR="000D31D4" w:rsidRPr="002970F8">
        <w:rPr>
          <w:rFonts w:asciiTheme="minorBidi" w:hAnsiTheme="minorBidi" w:cstheme="minorBidi"/>
          <w:i/>
          <w:iCs/>
          <w:szCs w:val="22"/>
        </w:rPr>
        <w:t>tional Change Governance Committee</w:t>
      </w:r>
    </w:p>
    <w:p w14:paraId="765E290B" w14:textId="7265FA49" w:rsidR="0068647F" w:rsidRPr="0068647F" w:rsidRDefault="00387D37" w:rsidP="004B3066">
      <w:pPr>
        <w:pStyle w:val="SectText2"/>
        <w:ind w:left="0" w:right="-286"/>
        <w:rPr>
          <w:rFonts w:asciiTheme="minorBidi" w:hAnsiTheme="minorBidi" w:cstheme="minorBidi"/>
          <w:bCs/>
        </w:rPr>
      </w:pPr>
      <w:r>
        <w:rPr>
          <w:rFonts w:asciiTheme="minorBidi" w:hAnsiTheme="minorBidi" w:cstheme="minorBidi"/>
          <w:bCs/>
        </w:rPr>
        <w:t>The University Secretary reported that t</w:t>
      </w:r>
      <w:r w:rsidR="0068647F" w:rsidRPr="0068647F">
        <w:rPr>
          <w:rFonts w:asciiTheme="minorBidi" w:hAnsiTheme="minorBidi" w:cstheme="minorBidi"/>
          <w:bCs/>
        </w:rPr>
        <w:t xml:space="preserve">he Organisational Change Governance Committee (OCGC) had met once more on 3 September to review the structural changes in </w:t>
      </w:r>
      <w:r w:rsidRPr="00F33799">
        <w:rPr>
          <w:rFonts w:asciiTheme="minorBidi" w:hAnsiTheme="minorBidi" w:cstheme="minorBidi"/>
          <w:szCs w:val="22"/>
        </w:rPr>
        <w:t>Social and Public Health Sciences Unit (</w:t>
      </w:r>
      <w:r w:rsidR="0068647F" w:rsidRPr="0068647F">
        <w:rPr>
          <w:rFonts w:asciiTheme="minorBidi" w:hAnsiTheme="minorBidi" w:cstheme="minorBidi"/>
          <w:bCs/>
        </w:rPr>
        <w:t>SPSHU</w:t>
      </w:r>
      <w:r>
        <w:rPr>
          <w:rFonts w:asciiTheme="minorBidi" w:hAnsiTheme="minorBidi" w:cstheme="minorBidi"/>
          <w:bCs/>
        </w:rPr>
        <w:t>)</w:t>
      </w:r>
      <w:r w:rsidR="0068647F" w:rsidRPr="0068647F">
        <w:rPr>
          <w:rFonts w:asciiTheme="minorBidi" w:hAnsiTheme="minorBidi" w:cstheme="minorBidi"/>
          <w:bCs/>
        </w:rPr>
        <w:t xml:space="preserve">.  </w:t>
      </w:r>
      <w:proofErr w:type="gramStart"/>
      <w:r w:rsidR="0068647F" w:rsidRPr="0068647F">
        <w:rPr>
          <w:rFonts w:asciiTheme="minorBidi" w:hAnsiTheme="minorBidi" w:cstheme="minorBidi"/>
          <w:bCs/>
        </w:rPr>
        <w:t>A number of</w:t>
      </w:r>
      <w:proofErr w:type="gramEnd"/>
      <w:r w:rsidR="0068647F" w:rsidRPr="0068647F">
        <w:rPr>
          <w:rFonts w:asciiTheme="minorBidi" w:hAnsiTheme="minorBidi" w:cstheme="minorBidi"/>
          <w:bCs/>
        </w:rPr>
        <w:t xml:space="preserve"> issues were raised at the meeting including whether the process had been fair and whether more MRC funded posts should be transitioned to University funded roles. There were concerns about gender inequality, with data showing men were three times more likely to be retained than women during Phase 1 of the organisational change</w:t>
      </w:r>
      <w:r w:rsidR="00E61D65">
        <w:rPr>
          <w:rFonts w:asciiTheme="minorBidi" w:hAnsiTheme="minorBidi" w:cstheme="minorBidi"/>
          <w:bCs/>
        </w:rPr>
        <w:t>.</w:t>
      </w:r>
    </w:p>
    <w:p w14:paraId="155977CB" w14:textId="4F205BAD" w:rsidR="0068647F" w:rsidRDefault="00E61D65" w:rsidP="0068647F">
      <w:pPr>
        <w:pStyle w:val="SectText2"/>
        <w:ind w:left="0" w:right="-286"/>
        <w:rPr>
          <w:rFonts w:asciiTheme="minorBidi" w:hAnsiTheme="minorBidi" w:cstheme="minorBidi"/>
          <w:bCs/>
        </w:rPr>
      </w:pPr>
      <w:r>
        <w:rPr>
          <w:rFonts w:asciiTheme="minorBidi" w:hAnsiTheme="minorBidi" w:cstheme="minorBidi"/>
          <w:bCs/>
        </w:rPr>
        <w:t xml:space="preserve">Court noted that </w:t>
      </w:r>
      <w:proofErr w:type="gramStart"/>
      <w:r w:rsidR="00C456D6">
        <w:rPr>
          <w:rFonts w:asciiTheme="minorBidi" w:hAnsiTheme="minorBidi" w:cstheme="minorBidi"/>
          <w:bCs/>
        </w:rPr>
        <w:t>a number of</w:t>
      </w:r>
      <w:proofErr w:type="gramEnd"/>
      <w:r w:rsidR="00C456D6">
        <w:rPr>
          <w:rFonts w:asciiTheme="minorBidi" w:hAnsiTheme="minorBidi" w:cstheme="minorBidi"/>
          <w:bCs/>
        </w:rPr>
        <w:t xml:space="preserve"> </w:t>
      </w:r>
      <w:r>
        <w:rPr>
          <w:rFonts w:asciiTheme="minorBidi" w:hAnsiTheme="minorBidi" w:cstheme="minorBidi"/>
          <w:bCs/>
        </w:rPr>
        <w:t xml:space="preserve">recommendations </w:t>
      </w:r>
      <w:r w:rsidR="00C456D6">
        <w:rPr>
          <w:rFonts w:asciiTheme="minorBidi" w:hAnsiTheme="minorBidi" w:cstheme="minorBidi"/>
          <w:bCs/>
        </w:rPr>
        <w:t>wer</w:t>
      </w:r>
      <w:r>
        <w:rPr>
          <w:rFonts w:asciiTheme="minorBidi" w:hAnsiTheme="minorBidi" w:cstheme="minorBidi"/>
          <w:bCs/>
        </w:rPr>
        <w:t>e</w:t>
      </w:r>
      <w:r w:rsidR="00C456D6">
        <w:rPr>
          <w:rFonts w:asciiTheme="minorBidi" w:hAnsiTheme="minorBidi" w:cstheme="minorBidi"/>
          <w:bCs/>
        </w:rPr>
        <w:t xml:space="preserve"> now being put for approval</w:t>
      </w:r>
      <w:r>
        <w:rPr>
          <w:rFonts w:asciiTheme="minorBidi" w:hAnsiTheme="minorBidi" w:cstheme="minorBidi"/>
          <w:bCs/>
        </w:rPr>
        <w:t xml:space="preserve"> by the Committee</w:t>
      </w:r>
      <w:r w:rsidR="00C456D6">
        <w:rPr>
          <w:rFonts w:asciiTheme="minorBidi" w:hAnsiTheme="minorBidi" w:cstheme="minorBidi"/>
          <w:bCs/>
        </w:rPr>
        <w:t xml:space="preserve">. The proposals included </w:t>
      </w:r>
      <w:r w:rsidR="0068647F" w:rsidRPr="0068647F">
        <w:rPr>
          <w:rFonts w:asciiTheme="minorBidi" w:hAnsiTheme="minorBidi" w:cstheme="minorBidi"/>
          <w:bCs/>
        </w:rPr>
        <w:t>continuing consultations with Trades Unions and affected individuals</w:t>
      </w:r>
      <w:r w:rsidR="00387D37">
        <w:rPr>
          <w:rFonts w:asciiTheme="minorBidi" w:hAnsiTheme="minorBidi" w:cstheme="minorBidi"/>
          <w:bCs/>
        </w:rPr>
        <w:t xml:space="preserve"> and also making a recommendation that </w:t>
      </w:r>
      <w:r w:rsidR="0068647F" w:rsidRPr="0068647F">
        <w:rPr>
          <w:rFonts w:asciiTheme="minorBidi" w:hAnsiTheme="minorBidi" w:cstheme="minorBidi"/>
          <w:bCs/>
        </w:rPr>
        <w:t>an independent external review</w:t>
      </w:r>
      <w:r w:rsidR="00387D37">
        <w:rPr>
          <w:rFonts w:asciiTheme="minorBidi" w:hAnsiTheme="minorBidi" w:cstheme="minorBidi"/>
          <w:bCs/>
        </w:rPr>
        <w:t xml:space="preserve"> take </w:t>
      </w:r>
      <w:proofErr w:type="gramStart"/>
      <w:r w:rsidR="00387D37">
        <w:rPr>
          <w:rFonts w:asciiTheme="minorBidi" w:hAnsiTheme="minorBidi" w:cstheme="minorBidi"/>
          <w:bCs/>
        </w:rPr>
        <w:t xml:space="preserve">place </w:t>
      </w:r>
      <w:r w:rsidR="0068647F" w:rsidRPr="0068647F">
        <w:rPr>
          <w:rFonts w:asciiTheme="minorBidi" w:hAnsiTheme="minorBidi" w:cstheme="minorBidi"/>
          <w:bCs/>
        </w:rPr>
        <w:t xml:space="preserve"> to</w:t>
      </w:r>
      <w:proofErr w:type="gramEnd"/>
      <w:r w:rsidR="0068647F" w:rsidRPr="0068647F">
        <w:rPr>
          <w:rFonts w:asciiTheme="minorBidi" w:hAnsiTheme="minorBidi" w:cstheme="minorBidi"/>
          <w:bCs/>
        </w:rPr>
        <w:t xml:space="preserve"> provide assurance to both OCGC and Court. Th</w:t>
      </w:r>
      <w:r w:rsidR="00387D37">
        <w:rPr>
          <w:rFonts w:asciiTheme="minorBidi" w:hAnsiTheme="minorBidi" w:cstheme="minorBidi"/>
          <w:bCs/>
        </w:rPr>
        <w:t xml:space="preserve">e </w:t>
      </w:r>
      <w:r w:rsidR="0068647F" w:rsidRPr="0068647F">
        <w:rPr>
          <w:rFonts w:asciiTheme="minorBidi" w:hAnsiTheme="minorBidi" w:cstheme="minorBidi"/>
          <w:bCs/>
        </w:rPr>
        <w:t>review</w:t>
      </w:r>
      <w:r w:rsidR="00387D37">
        <w:rPr>
          <w:rFonts w:asciiTheme="minorBidi" w:hAnsiTheme="minorBidi" w:cstheme="minorBidi"/>
          <w:bCs/>
        </w:rPr>
        <w:t xml:space="preserve"> would include</w:t>
      </w:r>
      <w:r w:rsidR="0068647F" w:rsidRPr="0068647F">
        <w:rPr>
          <w:rFonts w:asciiTheme="minorBidi" w:hAnsiTheme="minorBidi" w:cstheme="minorBidi"/>
          <w:bCs/>
        </w:rPr>
        <w:t xml:space="preserve"> experts in Equality, Diversity, and Inclusion (EDI) and data analysis, </w:t>
      </w:r>
      <w:r w:rsidR="00387D37" w:rsidRPr="009C2E74">
        <w:rPr>
          <w:rFonts w:asciiTheme="minorBidi" w:hAnsiTheme="minorBidi" w:cstheme="minorBidi"/>
          <w:bCs/>
        </w:rPr>
        <w:t xml:space="preserve">and </w:t>
      </w:r>
      <w:r w:rsidR="0068647F" w:rsidRPr="0068647F">
        <w:rPr>
          <w:rFonts w:asciiTheme="minorBidi" w:hAnsiTheme="minorBidi" w:cstheme="minorBidi"/>
          <w:bCs/>
        </w:rPr>
        <w:t>would help</w:t>
      </w:r>
      <w:r w:rsidR="00C456D6" w:rsidRPr="009C2E74">
        <w:rPr>
          <w:rFonts w:asciiTheme="minorBidi" w:hAnsiTheme="minorBidi" w:cstheme="minorBidi"/>
          <w:bCs/>
        </w:rPr>
        <w:t xml:space="preserve"> to</w:t>
      </w:r>
      <w:r w:rsidR="0068647F" w:rsidRPr="0068647F">
        <w:rPr>
          <w:rFonts w:asciiTheme="minorBidi" w:hAnsiTheme="minorBidi" w:cstheme="minorBidi"/>
          <w:bCs/>
        </w:rPr>
        <w:t xml:space="preserve"> assess whether the process had been fair and</w:t>
      </w:r>
      <w:r w:rsidR="00C456D6" w:rsidRPr="009C2E74">
        <w:rPr>
          <w:rFonts w:asciiTheme="minorBidi" w:hAnsiTheme="minorBidi" w:cstheme="minorBidi"/>
          <w:bCs/>
        </w:rPr>
        <w:t xml:space="preserve"> to</w:t>
      </w:r>
      <w:r w:rsidR="0068647F" w:rsidRPr="0068647F">
        <w:rPr>
          <w:rFonts w:asciiTheme="minorBidi" w:hAnsiTheme="minorBidi" w:cstheme="minorBidi"/>
          <w:bCs/>
        </w:rPr>
        <w:t xml:space="preserve"> identify any systemic issues</w:t>
      </w:r>
      <w:r w:rsidR="00C456D6" w:rsidRPr="009C2E74">
        <w:rPr>
          <w:rFonts w:asciiTheme="minorBidi" w:hAnsiTheme="minorBidi" w:cstheme="minorBidi"/>
          <w:bCs/>
        </w:rPr>
        <w:t>.</w:t>
      </w:r>
    </w:p>
    <w:p w14:paraId="561D8391" w14:textId="0C549283" w:rsidR="00B40B62" w:rsidRDefault="00B40B62" w:rsidP="00B40B62">
      <w:pPr>
        <w:pStyle w:val="SectText2"/>
        <w:ind w:left="0" w:right="-286"/>
        <w:rPr>
          <w:rFonts w:asciiTheme="minorBidi" w:hAnsiTheme="minorBidi" w:cstheme="minorBidi"/>
          <w:bCs/>
        </w:rPr>
      </w:pPr>
      <w:r w:rsidRPr="0068647F">
        <w:rPr>
          <w:rFonts w:asciiTheme="minorBidi" w:hAnsiTheme="minorBidi" w:cstheme="minorBidi"/>
          <w:bCs/>
        </w:rPr>
        <w:t>OCGC acknowledged that earlier involvement in Phase 1 would have been beneficial and suggested that the Terms of Reference (</w:t>
      </w:r>
      <w:proofErr w:type="spellStart"/>
      <w:r w:rsidRPr="0068647F">
        <w:rPr>
          <w:rFonts w:asciiTheme="minorBidi" w:hAnsiTheme="minorBidi" w:cstheme="minorBidi"/>
          <w:bCs/>
        </w:rPr>
        <w:t>ToR</w:t>
      </w:r>
      <w:proofErr w:type="spellEnd"/>
      <w:r w:rsidRPr="0068647F">
        <w:rPr>
          <w:rFonts w:asciiTheme="minorBidi" w:hAnsiTheme="minorBidi" w:cstheme="minorBidi"/>
          <w:bCs/>
        </w:rPr>
        <w:t xml:space="preserve">) for the independent review be drafted and shared with Court for </w:t>
      </w:r>
      <w:r w:rsidR="00BD3374">
        <w:rPr>
          <w:rFonts w:asciiTheme="minorBidi" w:hAnsiTheme="minorBidi" w:cstheme="minorBidi"/>
          <w:bCs/>
        </w:rPr>
        <w:t>comment</w:t>
      </w:r>
      <w:r w:rsidRPr="0068647F">
        <w:rPr>
          <w:rFonts w:asciiTheme="minorBidi" w:hAnsiTheme="minorBidi" w:cstheme="minorBidi"/>
          <w:bCs/>
        </w:rPr>
        <w:t>. Recognising that similar situations were likely to occur in the future, the review would aim to ensure that lessons are learned, particularly in relation to gender balance</w:t>
      </w:r>
      <w:r>
        <w:rPr>
          <w:rFonts w:asciiTheme="minorBidi" w:hAnsiTheme="minorBidi" w:cstheme="minorBidi"/>
          <w:bCs/>
        </w:rPr>
        <w:t xml:space="preserve">, </w:t>
      </w:r>
      <w:r w:rsidRPr="0068647F">
        <w:rPr>
          <w:rFonts w:asciiTheme="minorBidi" w:hAnsiTheme="minorBidi" w:cstheme="minorBidi"/>
          <w:bCs/>
        </w:rPr>
        <w:t>and the treatment of affected staff</w:t>
      </w:r>
      <w:r>
        <w:rPr>
          <w:rFonts w:asciiTheme="minorBidi" w:hAnsiTheme="minorBidi" w:cstheme="minorBidi"/>
          <w:bCs/>
        </w:rPr>
        <w:t xml:space="preserve"> were acted upon.</w:t>
      </w:r>
    </w:p>
    <w:p w14:paraId="251491A2" w14:textId="23A40F8E" w:rsidR="00E61D65" w:rsidRPr="0068647F" w:rsidRDefault="00E61D65" w:rsidP="0068647F">
      <w:pPr>
        <w:pStyle w:val="SectText2"/>
        <w:ind w:left="0" w:right="-286"/>
        <w:rPr>
          <w:rFonts w:asciiTheme="minorBidi" w:hAnsiTheme="minorBidi" w:cstheme="minorBidi"/>
          <w:bCs/>
          <w:highlight w:val="yellow"/>
        </w:rPr>
      </w:pPr>
      <w:r>
        <w:rPr>
          <w:rFonts w:asciiTheme="minorBidi" w:hAnsiTheme="minorBidi" w:cstheme="minorBidi"/>
          <w:bCs/>
        </w:rPr>
        <w:lastRenderedPageBreak/>
        <w:t xml:space="preserve">Court also noted that a collective grievance had been raised by some of the staff within </w:t>
      </w:r>
      <w:r w:rsidRPr="009C2E74">
        <w:rPr>
          <w:rFonts w:asciiTheme="minorBidi" w:hAnsiTheme="minorBidi" w:cstheme="minorBidi"/>
          <w:bCs/>
        </w:rPr>
        <w:t>SPSHU</w:t>
      </w:r>
      <w:r>
        <w:rPr>
          <w:rFonts w:asciiTheme="minorBidi" w:hAnsiTheme="minorBidi" w:cstheme="minorBidi"/>
          <w:bCs/>
        </w:rPr>
        <w:t xml:space="preserve"> and that the Clerk of Senate was involved with hearing the case.</w:t>
      </w:r>
    </w:p>
    <w:p w14:paraId="479D83D9" w14:textId="05CF6FB7" w:rsidR="00B40B62" w:rsidRDefault="0068647F" w:rsidP="00B40B62">
      <w:pPr>
        <w:pStyle w:val="SectText2"/>
        <w:ind w:left="0" w:right="-286"/>
        <w:rPr>
          <w:rFonts w:asciiTheme="minorBidi" w:hAnsiTheme="minorBidi" w:cstheme="minorBidi"/>
          <w:bCs/>
        </w:rPr>
      </w:pPr>
      <w:r w:rsidRPr="0068647F">
        <w:rPr>
          <w:rFonts w:asciiTheme="minorBidi" w:hAnsiTheme="minorBidi" w:cstheme="minorBidi"/>
          <w:bCs/>
        </w:rPr>
        <w:t xml:space="preserve">Court members expressed concerns about the impact </w:t>
      </w:r>
      <w:r w:rsidR="009C2E74" w:rsidRPr="009C2E74">
        <w:rPr>
          <w:rFonts w:asciiTheme="minorBidi" w:hAnsiTheme="minorBidi" w:cstheme="minorBidi"/>
          <w:bCs/>
        </w:rPr>
        <w:t>this was having on the staff within SPSHU and if the changes were inline with</w:t>
      </w:r>
      <w:r w:rsidRPr="0068647F">
        <w:rPr>
          <w:rFonts w:asciiTheme="minorBidi" w:hAnsiTheme="minorBidi" w:cstheme="minorBidi"/>
          <w:bCs/>
        </w:rPr>
        <w:t xml:space="preserve"> the University’s strategic priorities</w:t>
      </w:r>
      <w:r w:rsidR="00B40B62">
        <w:rPr>
          <w:rFonts w:asciiTheme="minorBidi" w:hAnsiTheme="minorBidi" w:cstheme="minorBidi"/>
          <w:bCs/>
        </w:rPr>
        <w:t xml:space="preserve"> and interdisciplinary research</w:t>
      </w:r>
      <w:r w:rsidR="00E61D65">
        <w:rPr>
          <w:rFonts w:asciiTheme="minorBidi" w:hAnsiTheme="minorBidi" w:cstheme="minorBidi"/>
          <w:bCs/>
        </w:rPr>
        <w:t xml:space="preserve"> as the staff were within health inequalities which was a strategic priority.</w:t>
      </w:r>
      <w:r w:rsidR="009C2E74" w:rsidRPr="009C2E74">
        <w:rPr>
          <w:rFonts w:asciiTheme="minorBidi" w:hAnsiTheme="minorBidi" w:cstheme="minorBidi"/>
          <w:bCs/>
        </w:rPr>
        <w:t xml:space="preserve"> Concerns were also raised about the </w:t>
      </w:r>
      <w:r w:rsidRPr="0068647F">
        <w:rPr>
          <w:rFonts w:asciiTheme="minorBidi" w:hAnsiTheme="minorBidi" w:cstheme="minorBidi"/>
          <w:bCs/>
        </w:rPr>
        <w:t xml:space="preserve">potential </w:t>
      </w:r>
      <w:r w:rsidR="009C2E74" w:rsidRPr="009C2E74">
        <w:rPr>
          <w:rFonts w:asciiTheme="minorBidi" w:hAnsiTheme="minorBidi" w:cstheme="minorBidi"/>
          <w:bCs/>
        </w:rPr>
        <w:t xml:space="preserve">to cause </w:t>
      </w:r>
      <w:r w:rsidRPr="0068647F">
        <w:rPr>
          <w:rFonts w:asciiTheme="minorBidi" w:hAnsiTheme="minorBidi" w:cstheme="minorBidi"/>
          <w:bCs/>
        </w:rPr>
        <w:t>reputational damage</w:t>
      </w:r>
      <w:r w:rsidR="00B40B62">
        <w:rPr>
          <w:rFonts w:asciiTheme="minorBidi" w:hAnsiTheme="minorBidi" w:cstheme="minorBidi"/>
          <w:bCs/>
        </w:rPr>
        <w:t xml:space="preserve"> due to the loss of </w:t>
      </w:r>
      <w:proofErr w:type="gramStart"/>
      <w:r w:rsidR="00B40B62">
        <w:rPr>
          <w:rFonts w:asciiTheme="minorBidi" w:hAnsiTheme="minorBidi" w:cstheme="minorBidi"/>
          <w:bCs/>
        </w:rPr>
        <w:t>a large number of</w:t>
      </w:r>
      <w:proofErr w:type="gramEnd"/>
      <w:r w:rsidR="00B40B62">
        <w:rPr>
          <w:rFonts w:asciiTheme="minorBidi" w:hAnsiTheme="minorBidi" w:cstheme="minorBidi"/>
          <w:bCs/>
        </w:rPr>
        <w:t xml:space="preserve"> staff</w:t>
      </w:r>
      <w:r w:rsidR="009C2E74" w:rsidRPr="009C2E74">
        <w:rPr>
          <w:rFonts w:asciiTheme="minorBidi" w:hAnsiTheme="minorBidi" w:cstheme="minorBidi"/>
          <w:bCs/>
        </w:rPr>
        <w:t xml:space="preserve"> </w:t>
      </w:r>
      <w:r w:rsidRPr="0068647F">
        <w:rPr>
          <w:rFonts w:asciiTheme="minorBidi" w:hAnsiTheme="minorBidi" w:cstheme="minorBidi"/>
          <w:bCs/>
        </w:rPr>
        <w:t>and</w:t>
      </w:r>
      <w:r w:rsidR="00B40B62">
        <w:rPr>
          <w:rFonts w:asciiTheme="minorBidi" w:hAnsiTheme="minorBidi" w:cstheme="minorBidi"/>
          <w:bCs/>
        </w:rPr>
        <w:t xml:space="preserve"> also the</w:t>
      </w:r>
      <w:r w:rsidRPr="0068647F">
        <w:rPr>
          <w:rFonts w:asciiTheme="minorBidi" w:hAnsiTheme="minorBidi" w:cstheme="minorBidi"/>
          <w:bCs/>
        </w:rPr>
        <w:t xml:space="preserve"> disparities </w:t>
      </w:r>
      <w:r w:rsidR="009C2E74" w:rsidRPr="009C2E74">
        <w:rPr>
          <w:rFonts w:asciiTheme="minorBidi" w:hAnsiTheme="minorBidi" w:cstheme="minorBidi"/>
          <w:bCs/>
        </w:rPr>
        <w:t>in the staff that were transferred on to general funds.</w:t>
      </w:r>
      <w:r w:rsidR="009C2E74">
        <w:rPr>
          <w:rFonts w:asciiTheme="minorBidi" w:hAnsiTheme="minorBidi" w:cstheme="minorBidi"/>
          <w:bCs/>
        </w:rPr>
        <w:t xml:space="preserve"> </w:t>
      </w:r>
      <w:r w:rsidRPr="0068647F">
        <w:rPr>
          <w:rFonts w:asciiTheme="minorBidi" w:hAnsiTheme="minorBidi" w:cstheme="minorBidi"/>
          <w:bCs/>
        </w:rPr>
        <w:t xml:space="preserve"> </w:t>
      </w:r>
    </w:p>
    <w:p w14:paraId="11EFA28C" w14:textId="3E46F597" w:rsidR="00B40B62" w:rsidRPr="0068647F" w:rsidRDefault="00B40B62" w:rsidP="00B40B62">
      <w:pPr>
        <w:pStyle w:val="SectText2"/>
        <w:ind w:left="0" w:right="-286"/>
        <w:rPr>
          <w:rFonts w:asciiTheme="minorBidi" w:hAnsiTheme="minorBidi" w:cstheme="minorBidi"/>
          <w:bCs/>
        </w:rPr>
      </w:pPr>
      <w:r>
        <w:rPr>
          <w:rFonts w:asciiTheme="minorBidi" w:hAnsiTheme="minorBidi" w:cstheme="minorBidi"/>
          <w:bCs/>
        </w:rPr>
        <w:t>Court members</w:t>
      </w:r>
      <w:r w:rsidRPr="0068647F">
        <w:rPr>
          <w:rFonts w:asciiTheme="minorBidi" w:hAnsiTheme="minorBidi" w:cstheme="minorBidi"/>
          <w:bCs/>
        </w:rPr>
        <w:t xml:space="preserve"> emphasised the need for clearer criteria for </w:t>
      </w:r>
      <w:r w:rsidR="00CA2D7C">
        <w:rPr>
          <w:rFonts w:asciiTheme="minorBidi" w:hAnsiTheme="minorBidi" w:cstheme="minorBidi"/>
          <w:bCs/>
        </w:rPr>
        <w:t xml:space="preserve">determining when it was appropriate and feasible to </w:t>
      </w:r>
      <w:r w:rsidRPr="0068647F">
        <w:rPr>
          <w:rFonts w:asciiTheme="minorBidi" w:hAnsiTheme="minorBidi" w:cstheme="minorBidi"/>
          <w:bCs/>
        </w:rPr>
        <w:t xml:space="preserve">transition staff from externally funded to </w:t>
      </w:r>
      <w:proofErr w:type="gramStart"/>
      <w:r w:rsidRPr="0068647F">
        <w:rPr>
          <w:rFonts w:asciiTheme="minorBidi" w:hAnsiTheme="minorBidi" w:cstheme="minorBidi"/>
          <w:bCs/>
        </w:rPr>
        <w:t>University</w:t>
      </w:r>
      <w:proofErr w:type="gramEnd"/>
      <w:r w:rsidRPr="0068647F">
        <w:rPr>
          <w:rFonts w:asciiTheme="minorBidi" w:hAnsiTheme="minorBidi" w:cstheme="minorBidi"/>
          <w:bCs/>
        </w:rPr>
        <w:t xml:space="preserve"> funded roles and </w:t>
      </w:r>
      <w:r>
        <w:rPr>
          <w:rFonts w:asciiTheme="minorBidi" w:hAnsiTheme="minorBidi" w:cstheme="minorBidi"/>
          <w:bCs/>
        </w:rPr>
        <w:t>suggested that</w:t>
      </w:r>
      <w:r w:rsidRPr="0068647F">
        <w:rPr>
          <w:rFonts w:asciiTheme="minorBidi" w:hAnsiTheme="minorBidi" w:cstheme="minorBidi"/>
          <w:bCs/>
        </w:rPr>
        <w:t xml:space="preserve"> a standardised process </w:t>
      </w:r>
      <w:r>
        <w:rPr>
          <w:rFonts w:asciiTheme="minorBidi" w:hAnsiTheme="minorBidi" w:cstheme="minorBidi"/>
          <w:bCs/>
        </w:rPr>
        <w:t>should be developed to support</w:t>
      </w:r>
      <w:r w:rsidRPr="0068647F">
        <w:rPr>
          <w:rFonts w:asciiTheme="minorBidi" w:hAnsiTheme="minorBidi" w:cstheme="minorBidi"/>
          <w:bCs/>
        </w:rPr>
        <w:t xml:space="preserve"> these transition</w:t>
      </w:r>
      <w:r w:rsidR="00CA2D7C">
        <w:rPr>
          <w:rFonts w:asciiTheme="minorBidi" w:hAnsiTheme="minorBidi" w:cstheme="minorBidi"/>
          <w:bCs/>
        </w:rPr>
        <w:t xml:space="preserve"> decision</w:t>
      </w:r>
      <w:r w:rsidRPr="0068647F">
        <w:rPr>
          <w:rFonts w:asciiTheme="minorBidi" w:hAnsiTheme="minorBidi" w:cstheme="minorBidi"/>
          <w:bCs/>
        </w:rPr>
        <w:t>s more effectively in the future</w:t>
      </w:r>
      <w:r>
        <w:rPr>
          <w:rFonts w:asciiTheme="minorBidi" w:hAnsiTheme="minorBidi" w:cstheme="minorBidi"/>
          <w:bCs/>
        </w:rPr>
        <w:t xml:space="preserve"> which included technical staff</w:t>
      </w:r>
      <w:r w:rsidRPr="0068647F">
        <w:rPr>
          <w:rFonts w:asciiTheme="minorBidi" w:hAnsiTheme="minorBidi" w:cstheme="minorBidi"/>
          <w:bCs/>
        </w:rPr>
        <w:t>.</w:t>
      </w:r>
    </w:p>
    <w:p w14:paraId="0135EA0C" w14:textId="7E8742FF" w:rsidR="00162E39" w:rsidRPr="00387D37" w:rsidRDefault="009C2E74" w:rsidP="00162E39">
      <w:pPr>
        <w:spacing w:after="120"/>
        <w:ind w:right="-284"/>
        <w:jc w:val="both"/>
        <w:rPr>
          <w:rFonts w:asciiTheme="minorBidi" w:hAnsiTheme="minorBidi" w:cstheme="minorBidi"/>
          <w:sz w:val="22"/>
          <w:szCs w:val="22"/>
        </w:rPr>
      </w:pPr>
      <w:r>
        <w:rPr>
          <w:rFonts w:asciiTheme="minorBidi" w:hAnsiTheme="minorBidi" w:cstheme="minorBidi"/>
          <w:sz w:val="22"/>
          <w:szCs w:val="22"/>
        </w:rPr>
        <w:t xml:space="preserve">Following discussion </w:t>
      </w:r>
      <w:r w:rsidR="00162E39" w:rsidRPr="00387D37">
        <w:rPr>
          <w:rFonts w:asciiTheme="minorBidi" w:hAnsiTheme="minorBidi" w:cstheme="minorBidi"/>
          <w:sz w:val="22"/>
          <w:szCs w:val="22"/>
        </w:rPr>
        <w:t xml:space="preserve">Courts </w:t>
      </w:r>
      <w:r w:rsidR="00387D37" w:rsidRPr="00387D37">
        <w:rPr>
          <w:rFonts w:asciiTheme="minorBidi" w:hAnsiTheme="minorBidi" w:cstheme="minorBidi"/>
          <w:sz w:val="22"/>
          <w:szCs w:val="22"/>
        </w:rPr>
        <w:t>approved the next steps</w:t>
      </w:r>
      <w:r w:rsidR="00162E39" w:rsidRPr="00387D37">
        <w:rPr>
          <w:rFonts w:asciiTheme="minorBidi" w:hAnsiTheme="minorBidi" w:cstheme="minorBidi"/>
          <w:sz w:val="22"/>
          <w:szCs w:val="22"/>
        </w:rPr>
        <w:t>:-</w:t>
      </w:r>
    </w:p>
    <w:p w14:paraId="0C606D15" w14:textId="465C877A" w:rsidR="00162E39" w:rsidRPr="00162E39" w:rsidRDefault="00387D37" w:rsidP="00162E39">
      <w:pPr>
        <w:pStyle w:val="ListParagraph"/>
        <w:numPr>
          <w:ilvl w:val="0"/>
          <w:numId w:val="48"/>
        </w:numPr>
        <w:pBdr>
          <w:top w:val="none" w:sz="0" w:space="0" w:color="auto"/>
          <w:left w:val="none" w:sz="0" w:space="0" w:color="auto"/>
          <w:bottom w:val="none" w:sz="0" w:space="0" w:color="auto"/>
          <w:right w:val="none" w:sz="0" w:space="0" w:color="auto"/>
        </w:pBdr>
        <w:ind w:left="1418" w:hanging="567"/>
        <w:contextualSpacing/>
        <w:jc w:val="both"/>
        <w:rPr>
          <w:rFonts w:asciiTheme="minorBidi" w:hAnsiTheme="minorBidi" w:cstheme="minorBidi"/>
          <w:sz w:val="22"/>
          <w:szCs w:val="22"/>
        </w:rPr>
      </w:pPr>
      <w:bookmarkStart w:id="4" w:name="_Hlk177563920"/>
      <w:r>
        <w:rPr>
          <w:rFonts w:asciiTheme="minorBidi" w:hAnsiTheme="minorBidi" w:cstheme="minorBidi"/>
          <w:sz w:val="22"/>
          <w:szCs w:val="22"/>
          <w:lang w:val="en-GB"/>
        </w:rPr>
        <w:t>T</w:t>
      </w:r>
      <w:r w:rsidR="00162E39" w:rsidRPr="00162E39">
        <w:rPr>
          <w:rFonts w:asciiTheme="minorBidi" w:hAnsiTheme="minorBidi" w:cstheme="minorBidi"/>
          <w:sz w:val="22"/>
          <w:szCs w:val="22"/>
        </w:rPr>
        <w:t>he current process</w:t>
      </w:r>
      <w:r>
        <w:rPr>
          <w:rFonts w:asciiTheme="minorBidi" w:hAnsiTheme="minorBidi" w:cstheme="minorBidi"/>
          <w:sz w:val="22"/>
          <w:szCs w:val="22"/>
        </w:rPr>
        <w:t xml:space="preserve"> would be allowed to continue</w:t>
      </w:r>
      <w:r w:rsidR="00162E39" w:rsidRPr="00162E39">
        <w:rPr>
          <w:rFonts w:asciiTheme="minorBidi" w:hAnsiTheme="minorBidi" w:cstheme="minorBidi"/>
          <w:sz w:val="22"/>
          <w:szCs w:val="22"/>
        </w:rPr>
        <w:t xml:space="preserve">, </w:t>
      </w:r>
      <w:proofErr w:type="spellStart"/>
      <w:r w:rsidR="00162E39" w:rsidRPr="00162E39">
        <w:rPr>
          <w:rFonts w:asciiTheme="minorBidi" w:hAnsiTheme="minorBidi" w:cstheme="minorBidi"/>
          <w:sz w:val="22"/>
          <w:szCs w:val="22"/>
        </w:rPr>
        <w:t>recogni</w:t>
      </w:r>
      <w:r>
        <w:rPr>
          <w:rFonts w:asciiTheme="minorBidi" w:hAnsiTheme="minorBidi" w:cstheme="minorBidi"/>
          <w:sz w:val="22"/>
          <w:szCs w:val="22"/>
        </w:rPr>
        <w:t>s</w:t>
      </w:r>
      <w:r w:rsidR="00162E39" w:rsidRPr="00162E39">
        <w:rPr>
          <w:rFonts w:asciiTheme="minorBidi" w:hAnsiTheme="minorBidi" w:cstheme="minorBidi"/>
          <w:sz w:val="22"/>
          <w:szCs w:val="22"/>
        </w:rPr>
        <w:t>ing</w:t>
      </w:r>
      <w:proofErr w:type="spellEnd"/>
      <w:r w:rsidR="00162E39" w:rsidRPr="00162E39">
        <w:rPr>
          <w:rFonts w:asciiTheme="minorBidi" w:hAnsiTheme="minorBidi" w:cstheme="minorBidi"/>
          <w:sz w:val="22"/>
          <w:szCs w:val="22"/>
        </w:rPr>
        <w:t xml:space="preserve"> that this may lead to redundancies</w:t>
      </w:r>
      <w:r w:rsidR="006D7903">
        <w:rPr>
          <w:rFonts w:asciiTheme="minorBidi" w:hAnsiTheme="minorBidi" w:cstheme="minorBidi"/>
          <w:sz w:val="22"/>
          <w:szCs w:val="22"/>
        </w:rPr>
        <w:t xml:space="preserve"> as </w:t>
      </w:r>
      <w:proofErr w:type="spellStart"/>
      <w:r w:rsidR="00162E39" w:rsidRPr="00162E39">
        <w:rPr>
          <w:rFonts w:asciiTheme="minorBidi" w:hAnsiTheme="minorBidi" w:cstheme="minorBidi"/>
          <w:sz w:val="22"/>
          <w:szCs w:val="22"/>
        </w:rPr>
        <w:t>signalled</w:t>
      </w:r>
      <w:proofErr w:type="spellEnd"/>
      <w:r w:rsidR="00162E39" w:rsidRPr="00162E39">
        <w:rPr>
          <w:rFonts w:asciiTheme="minorBidi" w:hAnsiTheme="minorBidi" w:cstheme="minorBidi"/>
          <w:sz w:val="22"/>
          <w:szCs w:val="22"/>
        </w:rPr>
        <w:t xml:space="preserve"> in the papers shared with OCGC, trade unions and UK Government Secretary of State.</w:t>
      </w:r>
    </w:p>
    <w:p w14:paraId="6A45843C" w14:textId="6A09B924" w:rsidR="00162E39" w:rsidRPr="00162E39" w:rsidRDefault="00387D37" w:rsidP="00162E39">
      <w:pPr>
        <w:pStyle w:val="ListParagraph"/>
        <w:numPr>
          <w:ilvl w:val="0"/>
          <w:numId w:val="48"/>
        </w:numPr>
        <w:pBdr>
          <w:top w:val="none" w:sz="0" w:space="0" w:color="auto"/>
          <w:left w:val="none" w:sz="0" w:space="0" w:color="auto"/>
          <w:bottom w:val="none" w:sz="0" w:space="0" w:color="auto"/>
          <w:right w:val="none" w:sz="0" w:space="0" w:color="auto"/>
        </w:pBdr>
        <w:ind w:left="1418" w:hanging="567"/>
        <w:contextualSpacing/>
        <w:jc w:val="both"/>
        <w:rPr>
          <w:rFonts w:asciiTheme="minorBidi" w:hAnsiTheme="minorBidi" w:cstheme="minorBidi"/>
          <w:sz w:val="22"/>
          <w:szCs w:val="22"/>
        </w:rPr>
      </w:pPr>
      <w:r>
        <w:rPr>
          <w:rFonts w:asciiTheme="minorBidi" w:hAnsiTheme="minorBidi" w:cstheme="minorBidi"/>
          <w:sz w:val="22"/>
          <w:szCs w:val="22"/>
        </w:rPr>
        <w:t>T</w:t>
      </w:r>
      <w:r w:rsidR="00162E39" w:rsidRPr="00162E39">
        <w:rPr>
          <w:rFonts w:asciiTheme="minorBidi" w:hAnsiTheme="minorBidi" w:cstheme="minorBidi"/>
          <w:sz w:val="22"/>
          <w:szCs w:val="22"/>
        </w:rPr>
        <w:t>he College</w:t>
      </w:r>
      <w:r>
        <w:rPr>
          <w:rFonts w:asciiTheme="minorBidi" w:hAnsiTheme="minorBidi" w:cstheme="minorBidi"/>
          <w:sz w:val="22"/>
          <w:szCs w:val="22"/>
        </w:rPr>
        <w:t xml:space="preserve"> would be invited</w:t>
      </w:r>
      <w:r w:rsidR="00162E39" w:rsidRPr="00162E39">
        <w:rPr>
          <w:rFonts w:asciiTheme="minorBidi" w:hAnsiTheme="minorBidi" w:cstheme="minorBidi"/>
          <w:sz w:val="22"/>
          <w:szCs w:val="22"/>
        </w:rPr>
        <w:t xml:space="preserve"> to review whether it </w:t>
      </w:r>
      <w:r>
        <w:rPr>
          <w:rFonts w:asciiTheme="minorBidi" w:hAnsiTheme="minorBidi" w:cstheme="minorBidi"/>
          <w:sz w:val="22"/>
          <w:szCs w:val="22"/>
        </w:rPr>
        <w:t>was</w:t>
      </w:r>
      <w:r w:rsidR="00162E39" w:rsidRPr="00162E39">
        <w:rPr>
          <w:rFonts w:asciiTheme="minorBidi" w:hAnsiTheme="minorBidi" w:cstheme="minorBidi"/>
          <w:sz w:val="22"/>
          <w:szCs w:val="22"/>
        </w:rPr>
        <w:t xml:space="preserve"> possible and appropriate to further use the growth fund to preserve more of the affected positions.</w:t>
      </w:r>
    </w:p>
    <w:p w14:paraId="07EEF3B0" w14:textId="22D76DBA" w:rsidR="00162E39" w:rsidRPr="00162E39" w:rsidRDefault="00387D37" w:rsidP="00162E39">
      <w:pPr>
        <w:pStyle w:val="ListParagraph"/>
        <w:numPr>
          <w:ilvl w:val="0"/>
          <w:numId w:val="48"/>
        </w:numPr>
        <w:pBdr>
          <w:top w:val="none" w:sz="0" w:space="0" w:color="auto"/>
          <w:left w:val="none" w:sz="0" w:space="0" w:color="auto"/>
          <w:bottom w:val="none" w:sz="0" w:space="0" w:color="auto"/>
          <w:right w:val="none" w:sz="0" w:space="0" w:color="auto"/>
        </w:pBdr>
        <w:ind w:left="1418" w:hanging="567"/>
        <w:contextualSpacing/>
        <w:jc w:val="both"/>
        <w:rPr>
          <w:rFonts w:asciiTheme="minorBidi" w:hAnsiTheme="minorBidi" w:cstheme="minorBidi"/>
          <w:sz w:val="22"/>
          <w:szCs w:val="22"/>
        </w:rPr>
      </w:pPr>
      <w:r>
        <w:rPr>
          <w:rFonts w:asciiTheme="minorBidi" w:hAnsiTheme="minorBidi" w:cstheme="minorBidi"/>
          <w:sz w:val="22"/>
          <w:szCs w:val="22"/>
        </w:rPr>
        <w:t>A</w:t>
      </w:r>
      <w:r w:rsidR="00162E39" w:rsidRPr="00162E39">
        <w:rPr>
          <w:rFonts w:asciiTheme="minorBidi" w:hAnsiTheme="minorBidi" w:cstheme="minorBidi"/>
          <w:sz w:val="22"/>
          <w:szCs w:val="22"/>
        </w:rPr>
        <w:t xml:space="preserve">n independent assessment of the Academic PI Review </w:t>
      </w:r>
      <w:r w:rsidR="00BD3374">
        <w:rPr>
          <w:rFonts w:asciiTheme="minorBidi" w:hAnsiTheme="minorBidi" w:cstheme="minorBidi"/>
          <w:sz w:val="22"/>
          <w:szCs w:val="22"/>
        </w:rPr>
        <w:t>to be</w:t>
      </w:r>
      <w:r>
        <w:rPr>
          <w:rFonts w:asciiTheme="minorBidi" w:hAnsiTheme="minorBidi" w:cstheme="minorBidi"/>
          <w:sz w:val="22"/>
          <w:szCs w:val="22"/>
        </w:rPr>
        <w:t xml:space="preserve"> conducted </w:t>
      </w:r>
      <w:proofErr w:type="gramStart"/>
      <w:r>
        <w:rPr>
          <w:rFonts w:asciiTheme="minorBidi" w:hAnsiTheme="minorBidi" w:cstheme="minorBidi"/>
          <w:sz w:val="22"/>
          <w:szCs w:val="22"/>
        </w:rPr>
        <w:t>on</w:t>
      </w:r>
      <w:proofErr w:type="gramEnd"/>
      <w:r>
        <w:rPr>
          <w:rFonts w:asciiTheme="minorBidi" w:hAnsiTheme="minorBidi" w:cstheme="minorBidi"/>
          <w:sz w:val="22"/>
          <w:szCs w:val="22"/>
        </w:rPr>
        <w:t xml:space="preserve"> the </w:t>
      </w:r>
      <w:r w:rsidR="00162E39" w:rsidRPr="00162E39">
        <w:rPr>
          <w:rFonts w:asciiTheme="minorBidi" w:hAnsiTheme="minorBidi" w:cstheme="minorBidi"/>
          <w:sz w:val="22"/>
          <w:szCs w:val="22"/>
        </w:rPr>
        <w:t xml:space="preserve">process to ensure fairness, particularly </w:t>
      </w:r>
      <w:proofErr w:type="gramStart"/>
      <w:r w:rsidR="00162E39" w:rsidRPr="00162E39">
        <w:rPr>
          <w:rFonts w:asciiTheme="minorBidi" w:hAnsiTheme="minorBidi" w:cstheme="minorBidi"/>
          <w:sz w:val="22"/>
          <w:szCs w:val="22"/>
        </w:rPr>
        <w:t>with regard to</w:t>
      </w:r>
      <w:proofErr w:type="gramEnd"/>
      <w:r w:rsidR="00162E39" w:rsidRPr="00162E39">
        <w:rPr>
          <w:rFonts w:asciiTheme="minorBidi" w:hAnsiTheme="minorBidi" w:cstheme="minorBidi"/>
          <w:sz w:val="22"/>
          <w:szCs w:val="22"/>
        </w:rPr>
        <w:t xml:space="preserve"> gender disparities and fairness between different grades of staff</w:t>
      </w:r>
      <w:r w:rsidR="00BD3374">
        <w:rPr>
          <w:rFonts w:asciiTheme="minorBidi" w:hAnsiTheme="minorBidi" w:cstheme="minorBidi"/>
          <w:sz w:val="22"/>
          <w:szCs w:val="22"/>
        </w:rPr>
        <w:t xml:space="preserve">. Court to have sight of the </w:t>
      </w:r>
      <w:proofErr w:type="spellStart"/>
      <w:r w:rsidR="00BD3374">
        <w:rPr>
          <w:rFonts w:asciiTheme="minorBidi" w:hAnsiTheme="minorBidi" w:cstheme="minorBidi"/>
          <w:sz w:val="22"/>
          <w:szCs w:val="22"/>
        </w:rPr>
        <w:t>ToR</w:t>
      </w:r>
      <w:proofErr w:type="spellEnd"/>
      <w:r w:rsidR="00BD3374">
        <w:rPr>
          <w:rFonts w:asciiTheme="minorBidi" w:hAnsiTheme="minorBidi" w:cstheme="minorBidi"/>
          <w:sz w:val="22"/>
          <w:szCs w:val="22"/>
        </w:rPr>
        <w:t xml:space="preserve"> for the review.</w:t>
      </w:r>
    </w:p>
    <w:p w14:paraId="750768B9" w14:textId="62A83D43" w:rsidR="00162E39" w:rsidRPr="00162E39" w:rsidRDefault="00387D37" w:rsidP="00162E39">
      <w:pPr>
        <w:pStyle w:val="ListParagraph"/>
        <w:numPr>
          <w:ilvl w:val="0"/>
          <w:numId w:val="48"/>
        </w:numPr>
        <w:pBdr>
          <w:top w:val="none" w:sz="0" w:space="0" w:color="auto"/>
          <w:left w:val="none" w:sz="0" w:space="0" w:color="auto"/>
          <w:bottom w:val="none" w:sz="0" w:space="0" w:color="auto"/>
          <w:right w:val="none" w:sz="0" w:space="0" w:color="auto"/>
        </w:pBdr>
        <w:ind w:left="1418" w:hanging="567"/>
        <w:contextualSpacing/>
        <w:jc w:val="both"/>
        <w:rPr>
          <w:rFonts w:asciiTheme="minorBidi" w:hAnsiTheme="minorBidi" w:cstheme="minorBidi"/>
          <w:b/>
          <w:bCs/>
          <w:sz w:val="22"/>
          <w:szCs w:val="22"/>
        </w:rPr>
      </w:pPr>
      <w:r>
        <w:rPr>
          <w:rFonts w:asciiTheme="minorBidi" w:hAnsiTheme="minorBidi" w:cstheme="minorBidi"/>
          <w:sz w:val="22"/>
          <w:szCs w:val="22"/>
        </w:rPr>
        <w:t>T</w:t>
      </w:r>
      <w:r w:rsidR="00162E39" w:rsidRPr="00162E39">
        <w:rPr>
          <w:rFonts w:asciiTheme="minorBidi" w:hAnsiTheme="minorBidi" w:cstheme="minorBidi"/>
          <w:sz w:val="22"/>
          <w:szCs w:val="22"/>
        </w:rPr>
        <w:t xml:space="preserve">he College </w:t>
      </w:r>
      <w:r>
        <w:rPr>
          <w:rFonts w:asciiTheme="minorBidi" w:hAnsiTheme="minorBidi" w:cstheme="minorBidi"/>
          <w:sz w:val="22"/>
          <w:szCs w:val="22"/>
        </w:rPr>
        <w:t xml:space="preserve">would be encouraged </w:t>
      </w:r>
      <w:r w:rsidR="00162E39" w:rsidRPr="00162E39">
        <w:rPr>
          <w:rFonts w:asciiTheme="minorBidi" w:hAnsiTheme="minorBidi" w:cstheme="minorBidi"/>
          <w:sz w:val="22"/>
          <w:szCs w:val="22"/>
        </w:rPr>
        <w:t>to explore opportunities for placing affected Academic PI individuals in Schools outside the School of Health and Wellbeing, whil</w:t>
      </w:r>
      <w:r>
        <w:rPr>
          <w:rFonts w:asciiTheme="minorBidi" w:hAnsiTheme="minorBidi" w:cstheme="minorBidi"/>
          <w:sz w:val="22"/>
          <w:szCs w:val="22"/>
        </w:rPr>
        <w:t>st</w:t>
      </w:r>
      <w:r w:rsidR="00162E39" w:rsidRPr="00162E39">
        <w:rPr>
          <w:rFonts w:asciiTheme="minorBidi" w:hAnsiTheme="minorBidi" w:cstheme="minorBidi"/>
          <w:sz w:val="22"/>
          <w:szCs w:val="22"/>
        </w:rPr>
        <w:t xml:space="preserve"> also considering opportunities to redeploy other members of staff.</w:t>
      </w:r>
    </w:p>
    <w:bookmarkEnd w:id="4"/>
    <w:p w14:paraId="550E4AA5" w14:textId="77777777" w:rsidR="00387D37" w:rsidRDefault="00387D37" w:rsidP="00387D37">
      <w:pPr>
        <w:pStyle w:val="SectText2"/>
        <w:ind w:left="0" w:right="-286"/>
        <w:rPr>
          <w:rFonts w:asciiTheme="minorBidi" w:hAnsiTheme="minorBidi" w:cstheme="minorBidi"/>
          <w:bCs/>
        </w:rPr>
      </w:pPr>
    </w:p>
    <w:p w14:paraId="06D542FB" w14:textId="080F8027" w:rsidR="00162E39" w:rsidRPr="00FD1FB0" w:rsidRDefault="00C456D6" w:rsidP="00FD1FB0">
      <w:pPr>
        <w:pStyle w:val="SectText2"/>
        <w:ind w:left="0" w:right="-286"/>
        <w:rPr>
          <w:rFonts w:asciiTheme="minorBidi" w:hAnsiTheme="minorBidi" w:cstheme="minorBidi"/>
          <w:bCs/>
        </w:rPr>
      </w:pPr>
      <w:r>
        <w:rPr>
          <w:rFonts w:asciiTheme="minorBidi" w:hAnsiTheme="minorBidi" w:cstheme="minorBidi"/>
          <w:bCs/>
        </w:rPr>
        <w:t xml:space="preserve">Court </w:t>
      </w:r>
      <w:r w:rsidR="00B40B62">
        <w:rPr>
          <w:rFonts w:asciiTheme="minorBidi" w:hAnsiTheme="minorBidi" w:cstheme="minorBidi"/>
          <w:bCs/>
        </w:rPr>
        <w:t xml:space="preserve">also </w:t>
      </w:r>
      <w:r>
        <w:rPr>
          <w:rFonts w:asciiTheme="minorBidi" w:hAnsiTheme="minorBidi" w:cstheme="minorBidi"/>
          <w:bCs/>
        </w:rPr>
        <w:t>agreed that OCGC would review b</w:t>
      </w:r>
      <w:r w:rsidRPr="0068647F">
        <w:rPr>
          <w:rFonts w:asciiTheme="minorBidi" w:hAnsiTheme="minorBidi" w:cstheme="minorBidi"/>
          <w:bCs/>
        </w:rPr>
        <w:t>roader University policies fo</w:t>
      </w:r>
      <w:r>
        <w:rPr>
          <w:rFonts w:asciiTheme="minorBidi" w:hAnsiTheme="minorBidi" w:cstheme="minorBidi"/>
          <w:bCs/>
        </w:rPr>
        <w:t>r</w:t>
      </w:r>
      <w:r w:rsidRPr="0068647F">
        <w:rPr>
          <w:rFonts w:asciiTheme="minorBidi" w:hAnsiTheme="minorBidi" w:cstheme="minorBidi"/>
          <w:bCs/>
        </w:rPr>
        <w:t xml:space="preserve"> staff </w:t>
      </w:r>
      <w:r>
        <w:rPr>
          <w:rFonts w:asciiTheme="minorBidi" w:hAnsiTheme="minorBidi" w:cstheme="minorBidi"/>
          <w:bCs/>
        </w:rPr>
        <w:t xml:space="preserve">and units affected by </w:t>
      </w:r>
      <w:r w:rsidR="00BD3374">
        <w:rPr>
          <w:rFonts w:asciiTheme="minorBidi" w:hAnsiTheme="minorBidi" w:cstheme="minorBidi"/>
          <w:bCs/>
        </w:rPr>
        <w:t xml:space="preserve">the </w:t>
      </w:r>
      <w:r>
        <w:rPr>
          <w:rFonts w:asciiTheme="minorBidi" w:hAnsiTheme="minorBidi" w:cstheme="minorBidi"/>
          <w:bCs/>
        </w:rPr>
        <w:t>loss of external funding to</w:t>
      </w:r>
      <w:r w:rsidR="00BD3374">
        <w:rPr>
          <w:rFonts w:asciiTheme="minorBidi" w:hAnsiTheme="minorBidi" w:cstheme="minorBidi"/>
          <w:bCs/>
        </w:rPr>
        <w:t xml:space="preserve"> see if a</w:t>
      </w:r>
      <w:r>
        <w:rPr>
          <w:rFonts w:asciiTheme="minorBidi" w:hAnsiTheme="minorBidi" w:cstheme="minorBidi"/>
          <w:bCs/>
        </w:rPr>
        <w:t xml:space="preserve"> standardise</w:t>
      </w:r>
      <w:r w:rsidR="00CA2D7C">
        <w:rPr>
          <w:rFonts w:asciiTheme="minorBidi" w:hAnsiTheme="minorBidi" w:cstheme="minorBidi"/>
          <w:bCs/>
        </w:rPr>
        <w:t>d</w:t>
      </w:r>
      <w:r w:rsidR="00BD3374">
        <w:rPr>
          <w:rFonts w:asciiTheme="minorBidi" w:hAnsiTheme="minorBidi" w:cstheme="minorBidi"/>
          <w:bCs/>
        </w:rPr>
        <w:t xml:space="preserve"> </w:t>
      </w:r>
      <w:r>
        <w:rPr>
          <w:rFonts w:asciiTheme="minorBidi" w:hAnsiTheme="minorBidi" w:cstheme="minorBidi"/>
          <w:bCs/>
        </w:rPr>
        <w:t>process</w:t>
      </w:r>
      <w:r w:rsidR="00B40B62">
        <w:rPr>
          <w:rFonts w:asciiTheme="minorBidi" w:hAnsiTheme="minorBidi" w:cstheme="minorBidi"/>
          <w:bCs/>
        </w:rPr>
        <w:t xml:space="preserve"> </w:t>
      </w:r>
      <w:r w:rsidR="00BD3374">
        <w:rPr>
          <w:rFonts w:asciiTheme="minorBidi" w:hAnsiTheme="minorBidi" w:cstheme="minorBidi"/>
          <w:bCs/>
        </w:rPr>
        <w:t xml:space="preserve">could be developed </w:t>
      </w:r>
      <w:r w:rsidR="00B40B62">
        <w:rPr>
          <w:rFonts w:asciiTheme="minorBidi" w:hAnsiTheme="minorBidi" w:cstheme="minorBidi"/>
          <w:bCs/>
        </w:rPr>
        <w:t>and</w:t>
      </w:r>
      <w:r w:rsidR="00BD3374">
        <w:rPr>
          <w:rFonts w:asciiTheme="minorBidi" w:hAnsiTheme="minorBidi" w:cstheme="minorBidi"/>
          <w:bCs/>
        </w:rPr>
        <w:t xml:space="preserve"> staff had clear early indication of what was required to ensure that they had the strongest case for being retained on general funds. Court also noted that it was also important to </w:t>
      </w:r>
      <w:r w:rsidR="00B40B62">
        <w:rPr>
          <w:rFonts w:asciiTheme="minorBidi" w:hAnsiTheme="minorBidi" w:cstheme="minorBidi"/>
          <w:bCs/>
        </w:rPr>
        <w:t>ensur</w:t>
      </w:r>
      <w:r w:rsidR="00BD3374">
        <w:rPr>
          <w:rFonts w:asciiTheme="minorBidi" w:hAnsiTheme="minorBidi" w:cstheme="minorBidi"/>
          <w:bCs/>
        </w:rPr>
        <w:t xml:space="preserve">e </w:t>
      </w:r>
      <w:r w:rsidR="00B40B62">
        <w:rPr>
          <w:rFonts w:asciiTheme="minorBidi" w:hAnsiTheme="minorBidi" w:cstheme="minorBidi"/>
          <w:bCs/>
        </w:rPr>
        <w:t>that staff implementing the process had the appropriate training in relation</w:t>
      </w:r>
      <w:r w:rsidR="00CA2D7C">
        <w:rPr>
          <w:rFonts w:asciiTheme="minorBidi" w:hAnsiTheme="minorBidi" w:cstheme="minorBidi"/>
          <w:bCs/>
        </w:rPr>
        <w:t xml:space="preserve"> to</w:t>
      </w:r>
      <w:r w:rsidR="00B40B62" w:rsidRPr="0068647F">
        <w:rPr>
          <w:rFonts w:asciiTheme="minorBidi" w:hAnsiTheme="minorBidi" w:cstheme="minorBidi"/>
          <w:bCs/>
        </w:rPr>
        <w:t xml:space="preserve"> Equality, Diversity, and Inclusion (EDI) and data analysis</w:t>
      </w:r>
      <w:r>
        <w:rPr>
          <w:rFonts w:asciiTheme="minorBidi" w:hAnsiTheme="minorBidi" w:cstheme="minorBidi"/>
          <w:bCs/>
        </w:rPr>
        <w:t>.</w:t>
      </w:r>
      <w:r w:rsidR="00BD3374">
        <w:rPr>
          <w:rFonts w:asciiTheme="minorBidi" w:hAnsiTheme="minorBidi" w:cstheme="minorBidi"/>
          <w:bCs/>
        </w:rPr>
        <w:t xml:space="preserve"> It was also agreed that the OCGC </w:t>
      </w:r>
      <w:proofErr w:type="spellStart"/>
      <w:r w:rsidR="00BD3374">
        <w:rPr>
          <w:rFonts w:asciiTheme="minorBidi" w:hAnsiTheme="minorBidi" w:cstheme="minorBidi"/>
          <w:bCs/>
        </w:rPr>
        <w:t>ToR</w:t>
      </w:r>
      <w:proofErr w:type="spellEnd"/>
      <w:r w:rsidR="00BD3374">
        <w:rPr>
          <w:rFonts w:asciiTheme="minorBidi" w:hAnsiTheme="minorBidi" w:cstheme="minorBidi"/>
          <w:bCs/>
        </w:rPr>
        <w:t xml:space="preserve"> would be reviewed to ensure that it was clear that the Committee should be sighted on any proposed organisational changes at the early stages. </w:t>
      </w:r>
    </w:p>
    <w:p w14:paraId="7C698A7F" w14:textId="22B0DB24" w:rsidR="002C0502" w:rsidRDefault="000D31D4" w:rsidP="002C0502">
      <w:pPr>
        <w:pStyle w:val="SectText2"/>
        <w:ind w:left="540" w:right="-284" w:hanging="540"/>
        <w:rPr>
          <w:rFonts w:ascii="Arial" w:hAnsi="Arial" w:cs="Arial"/>
          <w:i/>
          <w:iCs/>
          <w:szCs w:val="22"/>
        </w:rPr>
      </w:pPr>
      <w:r w:rsidRPr="006A4174">
        <w:rPr>
          <w:rFonts w:ascii="Arial" w:hAnsi="Arial" w:cs="Arial"/>
          <w:i/>
          <w:iCs/>
          <w:szCs w:val="22"/>
        </w:rPr>
        <w:t>CRT</w:t>
      </w:r>
      <w:r>
        <w:rPr>
          <w:rFonts w:ascii="Arial" w:hAnsi="Arial" w:cs="Arial"/>
          <w:i/>
          <w:iCs/>
          <w:szCs w:val="22"/>
        </w:rPr>
        <w:t>/</w:t>
      </w:r>
      <w:r w:rsidRPr="006A4174">
        <w:rPr>
          <w:rFonts w:ascii="Arial" w:hAnsi="Arial" w:cs="Arial"/>
          <w:i/>
          <w:iCs/>
          <w:szCs w:val="22"/>
        </w:rPr>
        <w:t>202</w:t>
      </w:r>
      <w:r>
        <w:rPr>
          <w:rFonts w:ascii="Arial" w:hAnsi="Arial" w:cs="Arial"/>
          <w:i/>
          <w:iCs/>
          <w:szCs w:val="22"/>
        </w:rPr>
        <w:t>4/10</w:t>
      </w:r>
      <w:r w:rsidRPr="006A4174">
        <w:rPr>
          <w:rFonts w:ascii="Arial" w:hAnsi="Arial" w:cs="Arial"/>
          <w:i/>
          <w:iCs/>
          <w:szCs w:val="22"/>
        </w:rPr>
        <w:t>.</w:t>
      </w:r>
      <w:r>
        <w:rPr>
          <w:rFonts w:ascii="Arial" w:hAnsi="Arial" w:cs="Arial"/>
          <w:i/>
          <w:iCs/>
          <w:szCs w:val="22"/>
        </w:rPr>
        <w:t>2</w:t>
      </w:r>
      <w:r w:rsidR="002C0502" w:rsidRPr="006A4174">
        <w:rPr>
          <w:rFonts w:ascii="Arial" w:hAnsi="Arial" w:cs="Arial"/>
          <w:i/>
          <w:iCs/>
          <w:szCs w:val="22"/>
        </w:rPr>
        <w:t xml:space="preserve"> </w:t>
      </w:r>
      <w:r>
        <w:rPr>
          <w:rFonts w:ascii="Arial" w:hAnsi="Arial" w:cs="Arial"/>
          <w:i/>
          <w:iCs/>
          <w:szCs w:val="22"/>
        </w:rPr>
        <w:t>Principal and VC Appointment</w:t>
      </w:r>
    </w:p>
    <w:p w14:paraId="1238E001" w14:textId="4B48134A" w:rsidR="000D31D4" w:rsidRDefault="000D31D4" w:rsidP="00A33784">
      <w:pPr>
        <w:pStyle w:val="SectText2"/>
        <w:ind w:left="0" w:right="-284"/>
        <w:rPr>
          <w:rFonts w:ascii="Arial" w:hAnsi="Arial" w:cs="Arial"/>
          <w:szCs w:val="22"/>
        </w:rPr>
      </w:pPr>
      <w:r>
        <w:rPr>
          <w:rFonts w:ascii="Arial" w:hAnsi="Arial" w:cs="Arial"/>
          <w:szCs w:val="22"/>
        </w:rPr>
        <w:t>Court noted</w:t>
      </w:r>
      <w:r w:rsidR="00A33784">
        <w:rPr>
          <w:rFonts w:ascii="Arial" w:hAnsi="Arial" w:cs="Arial"/>
          <w:szCs w:val="22"/>
        </w:rPr>
        <w:t xml:space="preserve"> that following the approval of the appointment of Professor Andy Scofield at the Court meeting on 6 September 2024 a formal announcement was due to be made shortly. </w:t>
      </w:r>
    </w:p>
    <w:p w14:paraId="4E644411" w14:textId="2718E1FD" w:rsidR="000D31D4" w:rsidRDefault="000D31D4" w:rsidP="000D31D4">
      <w:pPr>
        <w:pStyle w:val="SectText2"/>
        <w:ind w:left="540" w:right="-284" w:hanging="540"/>
        <w:rPr>
          <w:rFonts w:ascii="Arial" w:hAnsi="Arial" w:cs="Arial"/>
          <w:i/>
          <w:iCs/>
          <w:szCs w:val="22"/>
        </w:rPr>
      </w:pPr>
      <w:r w:rsidRPr="006A4174">
        <w:rPr>
          <w:rFonts w:ascii="Arial" w:hAnsi="Arial" w:cs="Arial"/>
          <w:i/>
          <w:iCs/>
          <w:szCs w:val="22"/>
        </w:rPr>
        <w:t>CRT</w:t>
      </w:r>
      <w:r>
        <w:rPr>
          <w:rFonts w:ascii="Arial" w:hAnsi="Arial" w:cs="Arial"/>
          <w:i/>
          <w:iCs/>
          <w:szCs w:val="22"/>
        </w:rPr>
        <w:t>/</w:t>
      </w:r>
      <w:r w:rsidRPr="006A4174">
        <w:rPr>
          <w:rFonts w:ascii="Arial" w:hAnsi="Arial" w:cs="Arial"/>
          <w:i/>
          <w:iCs/>
          <w:szCs w:val="22"/>
        </w:rPr>
        <w:t>202</w:t>
      </w:r>
      <w:r>
        <w:rPr>
          <w:rFonts w:ascii="Arial" w:hAnsi="Arial" w:cs="Arial"/>
          <w:i/>
          <w:iCs/>
          <w:szCs w:val="22"/>
        </w:rPr>
        <w:t>4/10</w:t>
      </w:r>
      <w:r w:rsidRPr="006A4174">
        <w:rPr>
          <w:rFonts w:ascii="Arial" w:hAnsi="Arial" w:cs="Arial"/>
          <w:i/>
          <w:iCs/>
          <w:szCs w:val="22"/>
        </w:rPr>
        <w:t>.</w:t>
      </w:r>
      <w:r>
        <w:rPr>
          <w:rFonts w:ascii="Arial" w:hAnsi="Arial" w:cs="Arial"/>
          <w:i/>
          <w:iCs/>
          <w:szCs w:val="22"/>
        </w:rPr>
        <w:t>3 Vice-Convener of Court Appointment</w:t>
      </w:r>
    </w:p>
    <w:p w14:paraId="2D400929" w14:textId="734F2D25" w:rsidR="000D31D4" w:rsidRPr="000D31D4" w:rsidRDefault="000D31D4" w:rsidP="00A33784">
      <w:pPr>
        <w:pStyle w:val="SectText2"/>
        <w:ind w:left="540" w:right="-284" w:hanging="540"/>
        <w:rPr>
          <w:rFonts w:ascii="Arial" w:hAnsi="Arial" w:cs="Arial"/>
          <w:szCs w:val="22"/>
        </w:rPr>
      </w:pPr>
      <w:r>
        <w:rPr>
          <w:rFonts w:ascii="Arial" w:hAnsi="Arial" w:cs="Arial"/>
          <w:szCs w:val="22"/>
        </w:rPr>
        <w:t xml:space="preserve">Court </w:t>
      </w:r>
      <w:r w:rsidR="00A33784">
        <w:rPr>
          <w:rFonts w:ascii="Arial" w:hAnsi="Arial" w:cs="Arial"/>
          <w:szCs w:val="22"/>
        </w:rPr>
        <w:t>approved the appointment of Kerry Christie as the Vice-Convener of Court.</w:t>
      </w:r>
    </w:p>
    <w:p w14:paraId="268EE1D1" w14:textId="4A10C0F8" w:rsidR="000D31D4" w:rsidRPr="000D31D4" w:rsidRDefault="000D31D4" w:rsidP="000D31D4">
      <w:pPr>
        <w:pStyle w:val="SectText2"/>
        <w:ind w:left="540" w:right="-284" w:hanging="540"/>
        <w:rPr>
          <w:rFonts w:ascii="Arial" w:hAnsi="Arial" w:cs="Arial"/>
          <w:i/>
          <w:iCs/>
          <w:szCs w:val="22"/>
        </w:rPr>
      </w:pPr>
      <w:r w:rsidRPr="006A4174">
        <w:rPr>
          <w:rFonts w:ascii="Arial" w:hAnsi="Arial" w:cs="Arial"/>
          <w:i/>
          <w:iCs/>
          <w:szCs w:val="22"/>
        </w:rPr>
        <w:t>CRT</w:t>
      </w:r>
      <w:r>
        <w:rPr>
          <w:rFonts w:ascii="Arial" w:hAnsi="Arial" w:cs="Arial"/>
          <w:i/>
          <w:iCs/>
          <w:szCs w:val="22"/>
        </w:rPr>
        <w:t>/</w:t>
      </w:r>
      <w:r w:rsidRPr="006A4174">
        <w:rPr>
          <w:rFonts w:ascii="Arial" w:hAnsi="Arial" w:cs="Arial"/>
          <w:i/>
          <w:iCs/>
          <w:szCs w:val="22"/>
        </w:rPr>
        <w:t>202</w:t>
      </w:r>
      <w:r>
        <w:rPr>
          <w:rFonts w:ascii="Arial" w:hAnsi="Arial" w:cs="Arial"/>
          <w:i/>
          <w:iCs/>
          <w:szCs w:val="22"/>
        </w:rPr>
        <w:t>4/10</w:t>
      </w:r>
      <w:r w:rsidRPr="006A4174">
        <w:rPr>
          <w:rFonts w:ascii="Arial" w:hAnsi="Arial" w:cs="Arial"/>
          <w:i/>
          <w:iCs/>
          <w:szCs w:val="22"/>
        </w:rPr>
        <w:t>.</w:t>
      </w:r>
      <w:r>
        <w:rPr>
          <w:rFonts w:ascii="Arial" w:hAnsi="Arial" w:cs="Arial"/>
          <w:i/>
          <w:iCs/>
          <w:szCs w:val="22"/>
        </w:rPr>
        <w:t>4</w:t>
      </w:r>
      <w:r w:rsidRPr="006A4174">
        <w:rPr>
          <w:rFonts w:ascii="Arial" w:hAnsi="Arial" w:cs="Arial"/>
          <w:i/>
          <w:iCs/>
          <w:szCs w:val="22"/>
        </w:rPr>
        <w:t xml:space="preserve"> </w:t>
      </w:r>
      <w:r>
        <w:rPr>
          <w:rFonts w:ascii="Arial" w:hAnsi="Arial" w:cs="Arial"/>
          <w:i/>
          <w:iCs/>
          <w:szCs w:val="22"/>
        </w:rPr>
        <w:t xml:space="preserve"> Court Strategy Day</w:t>
      </w:r>
    </w:p>
    <w:p w14:paraId="77F336A0" w14:textId="55548569" w:rsidR="002C0502" w:rsidRPr="006A4174" w:rsidRDefault="002C0502" w:rsidP="002C0502">
      <w:pPr>
        <w:pStyle w:val="SectText2"/>
        <w:ind w:left="0" w:right="-284"/>
        <w:rPr>
          <w:rFonts w:ascii="Arial" w:hAnsi="Arial" w:cs="Arial"/>
          <w:iCs/>
          <w:szCs w:val="22"/>
        </w:rPr>
      </w:pPr>
      <w:r w:rsidRPr="006A4174">
        <w:rPr>
          <w:rFonts w:ascii="Arial" w:hAnsi="Arial" w:cs="Arial"/>
          <w:szCs w:val="22"/>
        </w:rPr>
        <w:t>T</w:t>
      </w:r>
      <w:r w:rsidRPr="006A4174">
        <w:rPr>
          <w:rFonts w:ascii="Arial" w:hAnsi="Arial" w:cs="Arial"/>
          <w:iCs/>
          <w:szCs w:val="22"/>
        </w:rPr>
        <w:t xml:space="preserve">he Court </w:t>
      </w:r>
      <w:proofErr w:type="gramStart"/>
      <w:r w:rsidRPr="006A4174">
        <w:rPr>
          <w:rFonts w:ascii="Arial" w:hAnsi="Arial" w:cs="Arial"/>
          <w:iCs/>
          <w:szCs w:val="22"/>
        </w:rPr>
        <w:t>Strategy day</w:t>
      </w:r>
      <w:proofErr w:type="gramEnd"/>
      <w:r w:rsidRPr="006A4174">
        <w:rPr>
          <w:rFonts w:ascii="Arial" w:hAnsi="Arial" w:cs="Arial"/>
          <w:iCs/>
          <w:szCs w:val="22"/>
        </w:rPr>
        <w:t xml:space="preserve"> was noted, and it was recorded that it had provided an opportunity for Court to be updated on, and to discuss, several areas including planning for the start of the academic session. Areas covered included:</w:t>
      </w:r>
    </w:p>
    <w:p w14:paraId="4C9371A3" w14:textId="77777777" w:rsidR="00A33784" w:rsidRPr="00447A63" w:rsidRDefault="00A33784" w:rsidP="00A33784">
      <w:pPr>
        <w:pStyle w:val="SectText2"/>
        <w:numPr>
          <w:ilvl w:val="0"/>
          <w:numId w:val="35"/>
        </w:numPr>
        <w:spacing w:after="0"/>
        <w:ind w:left="540" w:right="-284" w:firstLine="311"/>
        <w:rPr>
          <w:rFonts w:ascii="Arial" w:hAnsi="Arial" w:cs="Arial"/>
          <w:szCs w:val="22"/>
        </w:rPr>
      </w:pPr>
      <w:r w:rsidRPr="00447A63">
        <w:rPr>
          <w:rFonts w:ascii="Arial" w:hAnsi="Arial" w:cs="Arial"/>
        </w:rPr>
        <w:t>Overview of the University</w:t>
      </w:r>
    </w:p>
    <w:p w14:paraId="4F7B5AA6" w14:textId="77777777" w:rsidR="00A33784" w:rsidRPr="00447A63" w:rsidRDefault="00A33784" w:rsidP="00A33784">
      <w:pPr>
        <w:pStyle w:val="SectText2"/>
        <w:numPr>
          <w:ilvl w:val="0"/>
          <w:numId w:val="35"/>
        </w:numPr>
        <w:spacing w:after="0"/>
        <w:ind w:left="1418" w:right="-284" w:hanging="567"/>
        <w:rPr>
          <w:rFonts w:ascii="Arial" w:hAnsi="Arial" w:cs="Arial"/>
          <w:szCs w:val="22"/>
        </w:rPr>
      </w:pPr>
      <w:r w:rsidRPr="00447A63">
        <w:rPr>
          <w:rFonts w:ascii="Arial" w:hAnsi="Arial" w:cs="Arial"/>
        </w:rPr>
        <w:t>Overview of Metrics</w:t>
      </w:r>
    </w:p>
    <w:p w14:paraId="4A516360" w14:textId="77777777" w:rsidR="00A33784" w:rsidRPr="00447A63" w:rsidRDefault="00A33784" w:rsidP="00A33784">
      <w:pPr>
        <w:pStyle w:val="SectText2"/>
        <w:numPr>
          <w:ilvl w:val="0"/>
          <w:numId w:val="35"/>
        </w:numPr>
        <w:spacing w:after="0"/>
        <w:ind w:left="1418" w:right="-284" w:hanging="567"/>
        <w:rPr>
          <w:rFonts w:ascii="Arial" w:hAnsi="Arial" w:cs="Arial"/>
          <w:szCs w:val="22"/>
        </w:rPr>
      </w:pPr>
      <w:r w:rsidRPr="00447A63">
        <w:rPr>
          <w:rFonts w:ascii="Arial" w:hAnsi="Arial" w:cs="Arial"/>
        </w:rPr>
        <w:t>Research Strategy – changing expectations of universities</w:t>
      </w:r>
    </w:p>
    <w:p w14:paraId="2F5E483F" w14:textId="77777777" w:rsidR="00A33784" w:rsidRPr="00447A63" w:rsidRDefault="00A33784" w:rsidP="00A33784">
      <w:pPr>
        <w:pStyle w:val="SectText2"/>
        <w:numPr>
          <w:ilvl w:val="0"/>
          <w:numId w:val="35"/>
        </w:numPr>
        <w:spacing w:after="0"/>
        <w:ind w:left="1418" w:right="-284" w:hanging="567"/>
        <w:rPr>
          <w:rFonts w:ascii="Arial" w:hAnsi="Arial" w:cs="Arial"/>
          <w:szCs w:val="22"/>
        </w:rPr>
      </w:pPr>
      <w:r w:rsidRPr="00447A63">
        <w:rPr>
          <w:rFonts w:ascii="Arial" w:hAnsi="Arial" w:cs="Arial"/>
        </w:rPr>
        <w:t>Student recruitment – looking ahead</w:t>
      </w:r>
    </w:p>
    <w:p w14:paraId="4F0661B7" w14:textId="77777777" w:rsidR="00A33784" w:rsidRPr="00447A63" w:rsidRDefault="00A33784" w:rsidP="00A33784">
      <w:pPr>
        <w:pStyle w:val="SectText2"/>
        <w:numPr>
          <w:ilvl w:val="0"/>
          <w:numId w:val="35"/>
        </w:numPr>
        <w:spacing w:after="0"/>
        <w:ind w:left="1418" w:right="-284" w:hanging="567"/>
        <w:rPr>
          <w:rFonts w:ascii="Arial" w:hAnsi="Arial" w:cs="Arial"/>
          <w:szCs w:val="22"/>
        </w:rPr>
      </w:pPr>
      <w:r w:rsidRPr="00447A63">
        <w:rPr>
          <w:rFonts w:ascii="Arial" w:hAnsi="Arial" w:cs="Arial"/>
        </w:rPr>
        <w:t>Student Experience</w:t>
      </w:r>
    </w:p>
    <w:p w14:paraId="42DF9899" w14:textId="77777777" w:rsidR="00A33784" w:rsidRPr="00447A63" w:rsidRDefault="00A33784" w:rsidP="00A33784">
      <w:pPr>
        <w:pStyle w:val="SectText2"/>
        <w:numPr>
          <w:ilvl w:val="0"/>
          <w:numId w:val="35"/>
        </w:numPr>
        <w:spacing w:after="0"/>
        <w:ind w:left="1418" w:right="-284" w:hanging="567"/>
        <w:rPr>
          <w:rFonts w:ascii="Arial" w:hAnsi="Arial" w:cs="Arial"/>
          <w:szCs w:val="22"/>
        </w:rPr>
      </w:pPr>
      <w:r w:rsidRPr="00447A63">
        <w:rPr>
          <w:rFonts w:ascii="Arial" w:hAnsi="Arial" w:cs="Arial"/>
        </w:rPr>
        <w:t>Rankings – why they matter</w:t>
      </w:r>
    </w:p>
    <w:p w14:paraId="4629CF84" w14:textId="77777777" w:rsidR="002C0502" w:rsidRPr="00704B33" w:rsidRDefault="002C0502" w:rsidP="002C0502">
      <w:pPr>
        <w:pStyle w:val="SectText2"/>
        <w:spacing w:after="0"/>
        <w:ind w:left="1287" w:right="-284"/>
        <w:rPr>
          <w:rFonts w:asciiTheme="minorBidi" w:hAnsiTheme="minorBidi" w:cstheme="minorBidi"/>
        </w:rPr>
      </w:pPr>
    </w:p>
    <w:p w14:paraId="4D0AE221" w14:textId="6651BC38" w:rsidR="002C0502" w:rsidRPr="00704B33" w:rsidRDefault="002C0502" w:rsidP="002C0502">
      <w:pPr>
        <w:pStyle w:val="SectText2"/>
        <w:spacing w:after="240"/>
        <w:ind w:left="0" w:right="-284"/>
        <w:rPr>
          <w:rFonts w:asciiTheme="minorBidi" w:hAnsiTheme="minorBidi" w:cstheme="minorBidi"/>
          <w:szCs w:val="22"/>
        </w:rPr>
      </w:pPr>
      <w:r w:rsidRPr="00704B33">
        <w:rPr>
          <w:rFonts w:asciiTheme="minorBidi" w:hAnsiTheme="minorBidi" w:cstheme="minorBidi"/>
        </w:rPr>
        <w:t>It was noted that a feedback form had been sent out to Court members</w:t>
      </w:r>
      <w:r>
        <w:rPr>
          <w:rFonts w:asciiTheme="minorBidi" w:hAnsiTheme="minorBidi" w:cstheme="minorBidi"/>
        </w:rPr>
        <w:t xml:space="preserve"> and all members were encouraged to complete this.</w:t>
      </w:r>
    </w:p>
    <w:p w14:paraId="736D11BA" w14:textId="2CFE54D0" w:rsidR="000D31D4" w:rsidRPr="000D31D4" w:rsidRDefault="000D31D4" w:rsidP="000D31D4">
      <w:pPr>
        <w:pStyle w:val="SectText2"/>
        <w:ind w:left="540" w:right="-284" w:hanging="540"/>
        <w:rPr>
          <w:rFonts w:ascii="Arial" w:hAnsi="Arial" w:cs="Arial"/>
          <w:i/>
          <w:iCs/>
          <w:szCs w:val="22"/>
        </w:rPr>
      </w:pPr>
      <w:r w:rsidRPr="006A4174">
        <w:rPr>
          <w:rFonts w:ascii="Arial" w:hAnsi="Arial" w:cs="Arial"/>
          <w:i/>
          <w:iCs/>
          <w:szCs w:val="22"/>
        </w:rPr>
        <w:t>CRT</w:t>
      </w:r>
      <w:r>
        <w:rPr>
          <w:rFonts w:ascii="Arial" w:hAnsi="Arial" w:cs="Arial"/>
          <w:i/>
          <w:iCs/>
          <w:szCs w:val="22"/>
        </w:rPr>
        <w:t>/</w:t>
      </w:r>
      <w:r w:rsidRPr="006A4174">
        <w:rPr>
          <w:rFonts w:ascii="Arial" w:hAnsi="Arial" w:cs="Arial"/>
          <w:i/>
          <w:iCs/>
          <w:szCs w:val="22"/>
        </w:rPr>
        <w:t>202</w:t>
      </w:r>
      <w:r>
        <w:rPr>
          <w:rFonts w:ascii="Arial" w:hAnsi="Arial" w:cs="Arial"/>
          <w:i/>
          <w:iCs/>
          <w:szCs w:val="22"/>
        </w:rPr>
        <w:t>4/10</w:t>
      </w:r>
      <w:r w:rsidRPr="006A4174">
        <w:rPr>
          <w:rFonts w:ascii="Arial" w:hAnsi="Arial" w:cs="Arial"/>
          <w:i/>
          <w:iCs/>
          <w:szCs w:val="22"/>
        </w:rPr>
        <w:t>.</w:t>
      </w:r>
      <w:r>
        <w:rPr>
          <w:rFonts w:ascii="Arial" w:hAnsi="Arial" w:cs="Arial"/>
          <w:i/>
          <w:iCs/>
          <w:szCs w:val="22"/>
        </w:rPr>
        <w:t>5</w:t>
      </w:r>
      <w:r w:rsidRPr="006A4174">
        <w:rPr>
          <w:rFonts w:ascii="Arial" w:hAnsi="Arial" w:cs="Arial"/>
          <w:i/>
          <w:iCs/>
          <w:szCs w:val="22"/>
        </w:rPr>
        <w:t xml:space="preserve"> </w:t>
      </w:r>
      <w:r>
        <w:rPr>
          <w:rFonts w:ascii="Arial" w:hAnsi="Arial" w:cs="Arial"/>
          <w:i/>
          <w:iCs/>
          <w:szCs w:val="22"/>
        </w:rPr>
        <w:t>Court Effectiveness Review – Autumn 2023</w:t>
      </w:r>
    </w:p>
    <w:p w14:paraId="0820F53E" w14:textId="55907859" w:rsidR="000D31D4" w:rsidRPr="00A33784" w:rsidRDefault="000D31D4" w:rsidP="00A33784">
      <w:pPr>
        <w:pStyle w:val="SectText2"/>
        <w:spacing w:after="0"/>
        <w:ind w:left="0" w:right="140"/>
        <w:rPr>
          <w:rFonts w:asciiTheme="minorBidi" w:hAnsiTheme="minorBidi" w:cstheme="minorBidi"/>
          <w:szCs w:val="22"/>
        </w:rPr>
      </w:pPr>
      <w:r w:rsidRPr="00A33784">
        <w:rPr>
          <w:rFonts w:ascii="Arial" w:hAnsi="Arial" w:cs="Arial"/>
          <w:iCs/>
          <w:szCs w:val="22"/>
        </w:rPr>
        <w:t>Court noted</w:t>
      </w:r>
      <w:r w:rsidR="00A33784">
        <w:rPr>
          <w:rFonts w:ascii="Arial" w:hAnsi="Arial" w:cs="Arial"/>
          <w:iCs/>
          <w:szCs w:val="22"/>
        </w:rPr>
        <w:t xml:space="preserve"> that</w:t>
      </w:r>
      <w:r w:rsidR="00A33784" w:rsidRPr="00A33784">
        <w:rPr>
          <w:rFonts w:ascii="Arial" w:hAnsi="Arial" w:cs="Arial"/>
          <w:iCs/>
          <w:szCs w:val="22"/>
        </w:rPr>
        <w:t xml:space="preserve"> </w:t>
      </w:r>
      <w:r w:rsidR="00A33784">
        <w:rPr>
          <w:rFonts w:ascii="Arial" w:hAnsi="Arial" w:cs="Arial"/>
          <w:iCs/>
          <w:szCs w:val="22"/>
        </w:rPr>
        <w:t>f</w:t>
      </w:r>
      <w:r w:rsidR="00A33784" w:rsidRPr="00A33784">
        <w:rPr>
          <w:rFonts w:asciiTheme="minorBidi" w:hAnsiTheme="minorBidi" w:cstheme="minorBidi"/>
          <w:bCs/>
          <w:szCs w:val="22"/>
        </w:rPr>
        <w:t xml:space="preserve">ollowing the appointment of additional resource to the Court office, </w:t>
      </w:r>
      <w:r w:rsidR="00A33784" w:rsidRPr="00A33784">
        <w:rPr>
          <w:rFonts w:asciiTheme="minorBidi" w:hAnsiTheme="minorBidi" w:cstheme="minorBidi"/>
          <w:color w:val="242424"/>
          <w:szCs w:val="22"/>
        </w:rPr>
        <w:t>members of staff w</w:t>
      </w:r>
      <w:r w:rsidR="00A33784">
        <w:rPr>
          <w:rFonts w:asciiTheme="minorBidi" w:hAnsiTheme="minorBidi" w:cstheme="minorBidi"/>
          <w:color w:val="242424"/>
          <w:szCs w:val="22"/>
        </w:rPr>
        <w:t>ould</w:t>
      </w:r>
      <w:r w:rsidR="00A33784" w:rsidRPr="00A33784">
        <w:rPr>
          <w:rFonts w:asciiTheme="minorBidi" w:hAnsiTheme="minorBidi" w:cstheme="minorBidi"/>
          <w:color w:val="242424"/>
          <w:szCs w:val="22"/>
        </w:rPr>
        <w:t xml:space="preserve"> work with the Court </w:t>
      </w:r>
      <w:r w:rsidR="00A33784" w:rsidRPr="00A33784">
        <w:rPr>
          <w:rStyle w:val="cf01"/>
          <w:rFonts w:asciiTheme="minorBidi" w:hAnsiTheme="minorBidi" w:cstheme="minorBidi"/>
          <w:sz w:val="22"/>
          <w:szCs w:val="22"/>
        </w:rPr>
        <w:t>Governance Review (CGR) working group to take forward implementation of the recommendations and action plan.</w:t>
      </w:r>
    </w:p>
    <w:p w14:paraId="3591EA66" w14:textId="2FF68514" w:rsidR="002C0502" w:rsidRPr="00704B33" w:rsidRDefault="000D31D4" w:rsidP="002C0502">
      <w:pPr>
        <w:tabs>
          <w:tab w:val="left" w:pos="0"/>
        </w:tabs>
        <w:autoSpaceDE/>
        <w:autoSpaceDN/>
        <w:spacing w:before="120" w:after="120"/>
        <w:jc w:val="both"/>
        <w:rPr>
          <w:rFonts w:ascii="Arial" w:hAnsi="Arial" w:cs="Arial"/>
          <w:sz w:val="22"/>
          <w:szCs w:val="22"/>
        </w:rPr>
      </w:pPr>
      <w:r w:rsidRPr="00AE1E2E">
        <w:rPr>
          <w:rFonts w:ascii="Arial" w:hAnsi="Arial" w:cs="Arial"/>
          <w:i/>
          <w:iCs/>
          <w:sz w:val="22"/>
          <w:szCs w:val="22"/>
        </w:rPr>
        <w:t>CRT/2024/10.6</w:t>
      </w:r>
      <w:r w:rsidR="002C0502" w:rsidRPr="00AE1E2E">
        <w:rPr>
          <w:rFonts w:ascii="Arial" w:hAnsi="Arial" w:cs="Arial"/>
          <w:i/>
          <w:iCs/>
          <w:sz w:val="22"/>
          <w:szCs w:val="22"/>
        </w:rPr>
        <w:t xml:space="preserve"> New and con</w:t>
      </w:r>
      <w:r w:rsidR="002C0502" w:rsidRPr="00704B33">
        <w:rPr>
          <w:rFonts w:ascii="Arial" w:hAnsi="Arial" w:cs="Arial"/>
          <w:i/>
          <w:iCs/>
          <w:sz w:val="22"/>
          <w:szCs w:val="22"/>
        </w:rPr>
        <w:t>tinuing Court Members</w:t>
      </w:r>
    </w:p>
    <w:p w14:paraId="055CA6DA" w14:textId="6C381AD9" w:rsidR="00F0417D" w:rsidRDefault="00F0417D" w:rsidP="00F0417D">
      <w:pPr>
        <w:pStyle w:val="SectText2"/>
        <w:ind w:left="0" w:right="-284"/>
        <w:rPr>
          <w:rFonts w:ascii="Arial" w:hAnsi="Arial" w:cs="Arial"/>
          <w:szCs w:val="22"/>
        </w:rPr>
      </w:pPr>
      <w:r>
        <w:rPr>
          <w:rFonts w:ascii="Arial" w:hAnsi="Arial" w:cs="Arial"/>
          <w:szCs w:val="22"/>
        </w:rPr>
        <w:t xml:space="preserve">Lorraine McMillan had begun her term on Court on 1 August 2024 as a Co-opted Member of Court for four years. Mary Jane Brouwers would start her term on Court from the 1 October as a Co-opted Member of Court for four years. Pablo Moran Ruiz had also </w:t>
      </w:r>
      <w:r w:rsidRPr="00FA3950">
        <w:rPr>
          <w:rFonts w:ascii="Arial" w:hAnsi="Arial" w:cs="Arial"/>
          <w:szCs w:val="22"/>
        </w:rPr>
        <w:t>beg</w:t>
      </w:r>
      <w:r>
        <w:rPr>
          <w:rFonts w:ascii="Arial" w:hAnsi="Arial" w:cs="Arial"/>
          <w:szCs w:val="22"/>
        </w:rPr>
        <w:t>u</w:t>
      </w:r>
      <w:r w:rsidRPr="00FA3950">
        <w:rPr>
          <w:rFonts w:ascii="Arial" w:hAnsi="Arial" w:cs="Arial"/>
          <w:szCs w:val="22"/>
        </w:rPr>
        <w:t>n h</w:t>
      </w:r>
      <w:r>
        <w:rPr>
          <w:rFonts w:ascii="Arial" w:hAnsi="Arial" w:cs="Arial"/>
          <w:szCs w:val="22"/>
        </w:rPr>
        <w:t>is</w:t>
      </w:r>
      <w:r w:rsidRPr="00FA3950">
        <w:rPr>
          <w:rFonts w:ascii="Arial" w:hAnsi="Arial" w:cs="Arial"/>
          <w:szCs w:val="22"/>
        </w:rPr>
        <w:t xml:space="preserve"> term on Court on 1 July 20</w:t>
      </w:r>
      <w:r>
        <w:rPr>
          <w:rFonts w:ascii="Arial" w:hAnsi="Arial" w:cs="Arial"/>
          <w:szCs w:val="22"/>
        </w:rPr>
        <w:t>24</w:t>
      </w:r>
      <w:r w:rsidRPr="00FA3950">
        <w:rPr>
          <w:rFonts w:ascii="Arial" w:hAnsi="Arial" w:cs="Arial"/>
          <w:szCs w:val="22"/>
        </w:rPr>
        <w:t xml:space="preserve"> </w:t>
      </w:r>
      <w:r w:rsidRPr="00FA3950">
        <w:rPr>
          <w:rFonts w:ascii="Arial" w:hAnsi="Arial" w:cs="Arial"/>
          <w:i/>
          <w:iCs/>
          <w:szCs w:val="22"/>
        </w:rPr>
        <w:t>ex officio</w:t>
      </w:r>
      <w:r w:rsidRPr="00FA3950">
        <w:rPr>
          <w:rFonts w:ascii="Arial" w:hAnsi="Arial" w:cs="Arial"/>
          <w:szCs w:val="22"/>
        </w:rPr>
        <w:t xml:space="preserve"> as SRC President, for one year</w:t>
      </w:r>
      <w:r>
        <w:rPr>
          <w:rFonts w:ascii="Arial" w:hAnsi="Arial" w:cs="Arial"/>
          <w:szCs w:val="22"/>
        </w:rPr>
        <w:t>.</w:t>
      </w:r>
    </w:p>
    <w:p w14:paraId="047F751D" w14:textId="1E873061" w:rsidR="002C0502" w:rsidRDefault="002C0502" w:rsidP="00961C87">
      <w:pPr>
        <w:pStyle w:val="SectText2"/>
        <w:ind w:left="0" w:right="-284"/>
        <w:rPr>
          <w:rFonts w:asciiTheme="minorBidi" w:hAnsiTheme="minorBidi" w:cstheme="minorBidi"/>
          <w:szCs w:val="22"/>
        </w:rPr>
      </w:pPr>
      <w:r>
        <w:rPr>
          <w:rFonts w:ascii="Arial" w:hAnsi="Arial" w:cs="Arial"/>
          <w:szCs w:val="22"/>
        </w:rPr>
        <w:t xml:space="preserve">Court noted that the Nominations Committee was recommending </w:t>
      </w:r>
      <w:r w:rsidR="00961C87">
        <w:rPr>
          <w:rFonts w:ascii="Arial" w:hAnsi="Arial" w:cs="Arial"/>
          <w:szCs w:val="22"/>
        </w:rPr>
        <w:t xml:space="preserve">several </w:t>
      </w:r>
      <w:r w:rsidR="00CA2D7C">
        <w:rPr>
          <w:rFonts w:ascii="Arial" w:hAnsi="Arial" w:cs="Arial"/>
          <w:szCs w:val="22"/>
        </w:rPr>
        <w:t xml:space="preserve">Committee </w:t>
      </w:r>
      <w:r w:rsidR="00961C87">
        <w:rPr>
          <w:rFonts w:ascii="Arial" w:hAnsi="Arial" w:cs="Arial"/>
          <w:szCs w:val="22"/>
        </w:rPr>
        <w:t xml:space="preserve">appointments following the appointment of new Court members. Court noted that </w:t>
      </w:r>
      <w:r w:rsidR="00162E39">
        <w:rPr>
          <w:rFonts w:ascii="Arial" w:hAnsi="Arial" w:cs="Arial"/>
          <w:szCs w:val="22"/>
        </w:rPr>
        <w:t xml:space="preserve">the appointment process had been set out and agreed by the Nominations Committee and all recent Court appointments had been </w:t>
      </w:r>
      <w:r w:rsidR="00AE1E2E">
        <w:rPr>
          <w:rFonts w:ascii="Arial" w:hAnsi="Arial" w:cs="Arial"/>
          <w:szCs w:val="22"/>
        </w:rPr>
        <w:t xml:space="preserve">an open call for applications. </w:t>
      </w:r>
    </w:p>
    <w:p w14:paraId="28BC8E4A" w14:textId="0CC67275" w:rsidR="002C0502" w:rsidRDefault="002C0502" w:rsidP="00F0417D">
      <w:pPr>
        <w:tabs>
          <w:tab w:val="left" w:pos="0"/>
        </w:tabs>
        <w:autoSpaceDE/>
        <w:autoSpaceDN/>
        <w:spacing w:after="120"/>
        <w:jc w:val="both"/>
        <w:rPr>
          <w:rFonts w:asciiTheme="minorBidi" w:hAnsiTheme="minorBidi" w:cstheme="minorBidi"/>
          <w:sz w:val="22"/>
          <w:szCs w:val="22"/>
        </w:rPr>
      </w:pPr>
      <w:r w:rsidRPr="0052209C">
        <w:rPr>
          <w:rFonts w:asciiTheme="minorBidi" w:hAnsiTheme="minorBidi" w:cstheme="minorBidi"/>
          <w:sz w:val="22"/>
          <w:szCs w:val="22"/>
        </w:rPr>
        <w:t>Court approve</w:t>
      </w:r>
      <w:r>
        <w:rPr>
          <w:rFonts w:asciiTheme="minorBidi" w:hAnsiTheme="minorBidi" w:cstheme="minorBidi"/>
          <w:sz w:val="22"/>
          <w:szCs w:val="22"/>
        </w:rPr>
        <w:t>d</w:t>
      </w:r>
      <w:r w:rsidRPr="0052209C">
        <w:rPr>
          <w:rFonts w:asciiTheme="minorBidi" w:hAnsiTheme="minorBidi" w:cstheme="minorBidi"/>
          <w:sz w:val="22"/>
          <w:szCs w:val="22"/>
        </w:rPr>
        <w:t xml:space="preserve"> the</w:t>
      </w:r>
      <w:r>
        <w:rPr>
          <w:rFonts w:asciiTheme="minorBidi" w:hAnsiTheme="minorBidi" w:cstheme="minorBidi"/>
          <w:sz w:val="22"/>
          <w:szCs w:val="22"/>
        </w:rPr>
        <w:t xml:space="preserve"> </w:t>
      </w:r>
      <w:r w:rsidR="00F0417D">
        <w:rPr>
          <w:rFonts w:asciiTheme="minorBidi" w:hAnsiTheme="minorBidi" w:cstheme="minorBidi"/>
          <w:sz w:val="22"/>
          <w:szCs w:val="22"/>
        </w:rPr>
        <w:t xml:space="preserve">following </w:t>
      </w:r>
      <w:r>
        <w:rPr>
          <w:rFonts w:asciiTheme="minorBidi" w:hAnsiTheme="minorBidi" w:cstheme="minorBidi"/>
          <w:sz w:val="22"/>
          <w:szCs w:val="22"/>
        </w:rPr>
        <w:t>appointment</w:t>
      </w:r>
      <w:r w:rsidR="00F0417D">
        <w:rPr>
          <w:rFonts w:asciiTheme="minorBidi" w:hAnsiTheme="minorBidi" w:cstheme="minorBidi"/>
          <w:sz w:val="22"/>
          <w:szCs w:val="22"/>
        </w:rPr>
        <w:t>s:</w:t>
      </w:r>
    </w:p>
    <w:p w14:paraId="50D2DE42" w14:textId="4B6DD855" w:rsidR="00F0417D" w:rsidRDefault="00F0417D" w:rsidP="00AE1E2E">
      <w:pPr>
        <w:pStyle w:val="SectText2"/>
        <w:numPr>
          <w:ilvl w:val="0"/>
          <w:numId w:val="46"/>
        </w:numPr>
        <w:spacing w:after="0"/>
        <w:ind w:left="1259" w:right="-284" w:hanging="357"/>
        <w:rPr>
          <w:rFonts w:asciiTheme="minorBidi" w:hAnsiTheme="minorBidi" w:cstheme="minorBidi"/>
          <w:szCs w:val="22"/>
        </w:rPr>
      </w:pPr>
      <w:r>
        <w:rPr>
          <w:rFonts w:asciiTheme="minorBidi" w:hAnsiTheme="minorBidi" w:cstheme="minorBidi"/>
          <w:szCs w:val="22"/>
        </w:rPr>
        <w:t>Lorraine McMillan to the Audit and Risk Committee</w:t>
      </w:r>
      <w:r w:rsidR="00961C87">
        <w:rPr>
          <w:rFonts w:asciiTheme="minorBidi" w:hAnsiTheme="minorBidi" w:cstheme="minorBidi"/>
          <w:szCs w:val="22"/>
        </w:rPr>
        <w:t>.</w:t>
      </w:r>
    </w:p>
    <w:p w14:paraId="44A559DA" w14:textId="243CCC14" w:rsidR="00F0417D" w:rsidRDefault="00F0417D" w:rsidP="00AE1E2E">
      <w:pPr>
        <w:pStyle w:val="SectText2"/>
        <w:numPr>
          <w:ilvl w:val="0"/>
          <w:numId w:val="46"/>
        </w:numPr>
        <w:spacing w:after="0"/>
        <w:ind w:left="1259" w:right="-284" w:hanging="357"/>
        <w:rPr>
          <w:rFonts w:asciiTheme="minorBidi" w:hAnsiTheme="minorBidi" w:cstheme="minorBidi"/>
          <w:szCs w:val="22"/>
        </w:rPr>
      </w:pPr>
      <w:r>
        <w:rPr>
          <w:rFonts w:asciiTheme="minorBidi" w:hAnsiTheme="minorBidi" w:cstheme="minorBidi"/>
          <w:szCs w:val="22"/>
        </w:rPr>
        <w:t xml:space="preserve">Mary Jane Brouwers to the Finance Committee </w:t>
      </w:r>
      <w:r w:rsidR="00961C87">
        <w:rPr>
          <w:rFonts w:asciiTheme="minorBidi" w:hAnsiTheme="minorBidi" w:cstheme="minorBidi"/>
          <w:szCs w:val="22"/>
        </w:rPr>
        <w:t>.</w:t>
      </w:r>
    </w:p>
    <w:p w14:paraId="1674CBCD" w14:textId="1790ACAB" w:rsidR="00F0417D" w:rsidRDefault="00F0417D" w:rsidP="00AE1E2E">
      <w:pPr>
        <w:pStyle w:val="SectText2"/>
        <w:numPr>
          <w:ilvl w:val="0"/>
          <w:numId w:val="46"/>
        </w:numPr>
        <w:spacing w:after="0"/>
        <w:ind w:left="1259" w:right="-284" w:hanging="357"/>
        <w:rPr>
          <w:rFonts w:asciiTheme="minorBidi" w:hAnsiTheme="minorBidi" w:cstheme="minorBidi"/>
          <w:szCs w:val="22"/>
        </w:rPr>
      </w:pPr>
      <w:r>
        <w:rPr>
          <w:rFonts w:asciiTheme="minorBidi" w:hAnsiTheme="minorBidi" w:cstheme="minorBidi"/>
          <w:szCs w:val="22"/>
        </w:rPr>
        <w:t>Dr Bo Hu to the Information Policy and Strategy Committee</w:t>
      </w:r>
      <w:r w:rsidR="00961C87">
        <w:rPr>
          <w:rFonts w:asciiTheme="minorBidi" w:hAnsiTheme="minorBidi" w:cstheme="minorBidi"/>
          <w:szCs w:val="22"/>
        </w:rPr>
        <w:t>.</w:t>
      </w:r>
    </w:p>
    <w:p w14:paraId="688750A4" w14:textId="2FC444D0" w:rsidR="00961C87" w:rsidRDefault="00961C87" w:rsidP="00AE1E2E">
      <w:pPr>
        <w:pStyle w:val="SectText2"/>
        <w:numPr>
          <w:ilvl w:val="0"/>
          <w:numId w:val="46"/>
        </w:numPr>
        <w:spacing w:after="0"/>
        <w:ind w:left="1259" w:right="-284" w:hanging="357"/>
        <w:rPr>
          <w:rFonts w:asciiTheme="minorBidi" w:hAnsiTheme="minorBidi" w:cstheme="minorBidi"/>
          <w:szCs w:val="22"/>
        </w:rPr>
      </w:pPr>
      <w:r>
        <w:rPr>
          <w:rFonts w:asciiTheme="minorBidi" w:hAnsiTheme="minorBidi" w:cstheme="minorBidi"/>
          <w:szCs w:val="22"/>
        </w:rPr>
        <w:t xml:space="preserve">Martin Sinclair as </w:t>
      </w:r>
      <w:r w:rsidRPr="00551107">
        <w:rPr>
          <w:rFonts w:asciiTheme="minorBidi" w:hAnsiTheme="minorBidi" w:cstheme="minorBidi"/>
          <w:szCs w:val="22"/>
        </w:rPr>
        <w:t>the Chair of the</w:t>
      </w:r>
      <w:r>
        <w:rPr>
          <w:rFonts w:asciiTheme="minorBidi" w:hAnsiTheme="minorBidi" w:cstheme="minorBidi"/>
          <w:szCs w:val="22"/>
        </w:rPr>
        <w:t xml:space="preserve"> Audit and Risk Committee.</w:t>
      </w:r>
    </w:p>
    <w:p w14:paraId="7CB72187" w14:textId="09BCEC5C" w:rsidR="00F0417D" w:rsidRPr="00AB0D70" w:rsidRDefault="00F0417D" w:rsidP="00AE1E2E">
      <w:pPr>
        <w:pStyle w:val="SectText2"/>
        <w:numPr>
          <w:ilvl w:val="0"/>
          <w:numId w:val="46"/>
        </w:numPr>
        <w:spacing w:after="0"/>
        <w:ind w:left="1259" w:right="-284" w:hanging="357"/>
        <w:rPr>
          <w:rFonts w:asciiTheme="minorBidi" w:hAnsiTheme="minorBidi" w:cstheme="minorBidi"/>
          <w:szCs w:val="22"/>
        </w:rPr>
      </w:pPr>
      <w:r>
        <w:rPr>
          <w:rFonts w:ascii="Arial" w:hAnsi="Arial" w:cs="Arial"/>
          <w:szCs w:val="22"/>
        </w:rPr>
        <w:t>Laurie Foulds as an External Lay member of Finance Committee</w:t>
      </w:r>
      <w:r w:rsidR="00961C87">
        <w:rPr>
          <w:rFonts w:ascii="Arial" w:hAnsi="Arial" w:cs="Arial"/>
          <w:szCs w:val="22"/>
        </w:rPr>
        <w:t xml:space="preserve"> for 4 years from the 1 October 2024.</w:t>
      </w:r>
    </w:p>
    <w:p w14:paraId="0D6FF740" w14:textId="77777777" w:rsidR="00F0417D" w:rsidRDefault="00F0417D" w:rsidP="00F0417D">
      <w:pPr>
        <w:tabs>
          <w:tab w:val="left" w:pos="0"/>
        </w:tabs>
        <w:autoSpaceDE/>
        <w:autoSpaceDN/>
        <w:spacing w:after="120"/>
        <w:jc w:val="both"/>
        <w:rPr>
          <w:rFonts w:ascii="Arial" w:hAnsi="Arial" w:cs="Arial"/>
          <w:i/>
          <w:iCs/>
          <w:sz w:val="22"/>
          <w:szCs w:val="22"/>
        </w:rPr>
      </w:pPr>
    </w:p>
    <w:p w14:paraId="64AB6965" w14:textId="165BE632" w:rsidR="002C0502" w:rsidRPr="000D31D4" w:rsidRDefault="000D31D4" w:rsidP="002C0502">
      <w:pPr>
        <w:tabs>
          <w:tab w:val="left" w:pos="0"/>
        </w:tabs>
        <w:autoSpaceDE/>
        <w:autoSpaceDN/>
        <w:spacing w:after="120"/>
        <w:jc w:val="both"/>
        <w:rPr>
          <w:rFonts w:ascii="Arial" w:hAnsi="Arial" w:cs="Arial"/>
          <w:sz w:val="22"/>
          <w:szCs w:val="22"/>
        </w:rPr>
      </w:pPr>
      <w:r w:rsidRPr="000D31D4">
        <w:rPr>
          <w:rFonts w:ascii="Arial" w:hAnsi="Arial" w:cs="Arial"/>
          <w:i/>
          <w:iCs/>
          <w:sz w:val="22"/>
          <w:szCs w:val="22"/>
        </w:rPr>
        <w:t xml:space="preserve">CRT/2024/10.7 </w:t>
      </w:r>
      <w:r w:rsidR="002C0502" w:rsidRPr="000D31D4">
        <w:rPr>
          <w:rFonts w:ascii="Arial" w:hAnsi="Arial" w:cs="Arial"/>
          <w:i/>
          <w:iCs/>
          <w:sz w:val="22"/>
          <w:szCs w:val="22"/>
        </w:rPr>
        <w:t>Court Business 202</w:t>
      </w:r>
      <w:r w:rsidRPr="000D31D4">
        <w:rPr>
          <w:rFonts w:ascii="Arial" w:hAnsi="Arial" w:cs="Arial"/>
          <w:i/>
          <w:iCs/>
          <w:sz w:val="22"/>
          <w:szCs w:val="22"/>
        </w:rPr>
        <w:t>4</w:t>
      </w:r>
      <w:r w:rsidR="002C0502" w:rsidRPr="000D31D4">
        <w:rPr>
          <w:rFonts w:ascii="Arial" w:hAnsi="Arial" w:cs="Arial"/>
          <w:i/>
          <w:iCs/>
          <w:sz w:val="22"/>
          <w:szCs w:val="22"/>
        </w:rPr>
        <w:t>/2</w:t>
      </w:r>
      <w:r w:rsidRPr="000D31D4">
        <w:rPr>
          <w:rFonts w:ascii="Arial" w:hAnsi="Arial" w:cs="Arial"/>
          <w:i/>
          <w:iCs/>
          <w:sz w:val="22"/>
          <w:szCs w:val="22"/>
        </w:rPr>
        <w:t>5</w:t>
      </w:r>
    </w:p>
    <w:p w14:paraId="1EF7377D" w14:textId="06BCBA44" w:rsidR="002C0502" w:rsidRPr="006A4174" w:rsidRDefault="002C0502" w:rsidP="002C0502">
      <w:pPr>
        <w:pStyle w:val="SectText2"/>
        <w:ind w:left="0"/>
        <w:rPr>
          <w:rFonts w:ascii="Arial" w:hAnsi="Arial" w:cs="Arial"/>
          <w:szCs w:val="22"/>
        </w:rPr>
      </w:pPr>
      <w:r w:rsidRPr="006A4174">
        <w:rPr>
          <w:rFonts w:ascii="Arial" w:hAnsi="Arial" w:cs="Arial"/>
          <w:szCs w:val="22"/>
        </w:rPr>
        <w:t>Court received the Schedule of Court Business for the coming year, together with the Statement of Primary Responsibilities of Court</w:t>
      </w:r>
      <w:r w:rsidR="000D31D4">
        <w:rPr>
          <w:rFonts w:ascii="Arial" w:hAnsi="Arial" w:cs="Arial"/>
          <w:szCs w:val="22"/>
        </w:rPr>
        <w:t>.</w:t>
      </w:r>
      <w:r w:rsidRPr="006A4174">
        <w:rPr>
          <w:rFonts w:ascii="Arial" w:hAnsi="Arial" w:cs="Arial"/>
          <w:szCs w:val="22"/>
        </w:rPr>
        <w:t xml:space="preserve"> </w:t>
      </w:r>
    </w:p>
    <w:p w14:paraId="0D186A30" w14:textId="07313213" w:rsidR="002C0502" w:rsidRPr="006A4174" w:rsidRDefault="002C0502" w:rsidP="002C0502">
      <w:pPr>
        <w:pStyle w:val="SectText2"/>
        <w:spacing w:after="240"/>
        <w:ind w:left="0"/>
        <w:rPr>
          <w:rFonts w:ascii="Arial" w:hAnsi="Arial" w:cs="Arial"/>
          <w:szCs w:val="22"/>
        </w:rPr>
      </w:pPr>
      <w:r w:rsidRPr="006A4174">
        <w:rPr>
          <w:rFonts w:ascii="Arial" w:hAnsi="Arial" w:cs="Arial"/>
          <w:szCs w:val="22"/>
        </w:rPr>
        <w:t>The attendance lists for meetings of Court and its Committees for 202</w:t>
      </w:r>
      <w:r w:rsidR="000D31D4">
        <w:rPr>
          <w:rFonts w:ascii="Arial" w:hAnsi="Arial" w:cs="Arial"/>
          <w:szCs w:val="22"/>
        </w:rPr>
        <w:t>3</w:t>
      </w:r>
      <w:r w:rsidRPr="006A4174">
        <w:rPr>
          <w:rFonts w:ascii="Arial" w:hAnsi="Arial" w:cs="Arial"/>
          <w:szCs w:val="22"/>
        </w:rPr>
        <w:t>/2</w:t>
      </w:r>
      <w:r w:rsidR="000D31D4">
        <w:rPr>
          <w:rFonts w:ascii="Arial" w:hAnsi="Arial" w:cs="Arial"/>
          <w:szCs w:val="22"/>
        </w:rPr>
        <w:t>4</w:t>
      </w:r>
      <w:r w:rsidRPr="006A4174">
        <w:rPr>
          <w:rFonts w:ascii="Arial" w:hAnsi="Arial" w:cs="Arial"/>
          <w:szCs w:val="22"/>
        </w:rPr>
        <w:t xml:space="preserve"> had been reviewed; there were no issues for action in connection with this.  </w:t>
      </w:r>
    </w:p>
    <w:p w14:paraId="4CA2EEAB" w14:textId="0F4C7CBC" w:rsidR="002C0502" w:rsidRPr="000D31D4" w:rsidRDefault="000D31D4" w:rsidP="002C0502">
      <w:pPr>
        <w:tabs>
          <w:tab w:val="left" w:pos="0"/>
        </w:tabs>
        <w:autoSpaceDE/>
        <w:autoSpaceDN/>
        <w:spacing w:after="120"/>
        <w:jc w:val="both"/>
        <w:rPr>
          <w:rFonts w:asciiTheme="minorBidi" w:hAnsiTheme="minorBidi" w:cstheme="minorBidi"/>
          <w:sz w:val="22"/>
          <w:szCs w:val="22"/>
        </w:rPr>
      </w:pPr>
      <w:r w:rsidRPr="000D31D4">
        <w:rPr>
          <w:rFonts w:asciiTheme="minorBidi" w:hAnsiTheme="minorBidi" w:cstheme="minorBidi"/>
          <w:i/>
          <w:iCs/>
          <w:sz w:val="22"/>
          <w:szCs w:val="22"/>
        </w:rPr>
        <w:t>CRT/2024/10.8</w:t>
      </w:r>
      <w:r w:rsidR="002C0502" w:rsidRPr="000D31D4">
        <w:rPr>
          <w:rFonts w:asciiTheme="minorBidi" w:hAnsiTheme="minorBidi" w:cstheme="minorBidi"/>
          <w:i/>
          <w:iCs/>
          <w:sz w:val="22"/>
          <w:szCs w:val="22"/>
        </w:rPr>
        <w:t xml:space="preserve"> </w:t>
      </w:r>
      <w:r w:rsidRPr="000D31D4">
        <w:rPr>
          <w:rFonts w:asciiTheme="minorBidi" w:hAnsiTheme="minorBidi" w:cstheme="minorBidi"/>
          <w:i/>
          <w:iCs/>
          <w:sz w:val="22"/>
          <w:szCs w:val="22"/>
        </w:rPr>
        <w:t>SFC Assurance and Accountability and Research Assurance and Accountability Return 2024/25</w:t>
      </w:r>
    </w:p>
    <w:p w14:paraId="6A99D0F6" w14:textId="7F1FE82A" w:rsidR="00A33784" w:rsidRDefault="00A33784" w:rsidP="002C0502">
      <w:pPr>
        <w:tabs>
          <w:tab w:val="left" w:pos="0"/>
        </w:tabs>
        <w:autoSpaceDE/>
        <w:autoSpaceDN/>
        <w:spacing w:after="120"/>
        <w:jc w:val="both"/>
        <w:rPr>
          <w:rFonts w:asciiTheme="minorBidi" w:hAnsiTheme="minorBidi" w:cstheme="minorBidi"/>
          <w:sz w:val="22"/>
          <w:szCs w:val="22"/>
        </w:rPr>
      </w:pPr>
      <w:r>
        <w:rPr>
          <w:rFonts w:asciiTheme="minorBidi" w:eastAsia="Aptos" w:hAnsiTheme="minorBidi" w:cstheme="minorBidi"/>
          <w:sz w:val="22"/>
          <w:szCs w:val="22"/>
        </w:rPr>
        <w:t>Court noted that i</w:t>
      </w:r>
      <w:r w:rsidRPr="00220024">
        <w:rPr>
          <w:rFonts w:asciiTheme="minorBidi" w:eastAsia="Aptos" w:hAnsiTheme="minorBidi" w:cstheme="minorBidi"/>
          <w:sz w:val="22"/>
          <w:szCs w:val="22"/>
        </w:rPr>
        <w:t xml:space="preserve">n June, </w:t>
      </w:r>
      <w:r>
        <w:rPr>
          <w:rFonts w:asciiTheme="minorBidi" w:eastAsia="Aptos" w:hAnsiTheme="minorBidi" w:cstheme="minorBidi"/>
          <w:sz w:val="22"/>
          <w:szCs w:val="22"/>
        </w:rPr>
        <w:t xml:space="preserve">the </w:t>
      </w:r>
      <w:r w:rsidRPr="00220024">
        <w:rPr>
          <w:rFonts w:asciiTheme="minorBidi" w:eastAsia="Aptos" w:hAnsiTheme="minorBidi" w:cstheme="minorBidi"/>
          <w:sz w:val="22"/>
          <w:szCs w:val="22"/>
        </w:rPr>
        <w:t xml:space="preserve">SFC published further guidance and information relating to the new Outcomes Framework and Assurance Model (OFAM). This </w:t>
      </w:r>
      <w:r>
        <w:rPr>
          <w:rFonts w:asciiTheme="minorBidi" w:eastAsia="Aptos" w:hAnsiTheme="minorBidi" w:cstheme="minorBidi"/>
          <w:sz w:val="22"/>
          <w:szCs w:val="22"/>
        </w:rPr>
        <w:t>was</w:t>
      </w:r>
      <w:r w:rsidRPr="00220024">
        <w:rPr>
          <w:rFonts w:asciiTheme="minorBidi" w:eastAsia="Aptos" w:hAnsiTheme="minorBidi" w:cstheme="minorBidi"/>
          <w:sz w:val="22"/>
          <w:szCs w:val="22"/>
        </w:rPr>
        <w:t xml:space="preserve"> the replacement for the previous Outcome Agreement approach and c</w:t>
      </w:r>
      <w:r>
        <w:rPr>
          <w:rFonts w:asciiTheme="minorBidi" w:eastAsia="Aptos" w:hAnsiTheme="minorBidi" w:cstheme="minorBidi"/>
          <w:sz w:val="22"/>
          <w:szCs w:val="22"/>
        </w:rPr>
        <w:t xml:space="preserve">ame </w:t>
      </w:r>
      <w:r w:rsidRPr="00220024">
        <w:rPr>
          <w:rFonts w:asciiTheme="minorBidi" w:eastAsia="Aptos" w:hAnsiTheme="minorBidi" w:cstheme="minorBidi"/>
          <w:sz w:val="22"/>
          <w:szCs w:val="22"/>
        </w:rPr>
        <w:t>into force from August 1</w:t>
      </w:r>
      <w:r w:rsidRPr="00220024">
        <w:rPr>
          <w:rFonts w:asciiTheme="minorBidi" w:eastAsia="Aptos" w:hAnsiTheme="minorBidi" w:cstheme="minorBidi"/>
          <w:sz w:val="22"/>
          <w:szCs w:val="22"/>
          <w:vertAlign w:val="superscript"/>
        </w:rPr>
        <w:t>st</w:t>
      </w:r>
      <w:proofErr w:type="gramStart"/>
      <w:r w:rsidRPr="00220024">
        <w:rPr>
          <w:rFonts w:asciiTheme="minorBidi" w:eastAsia="Aptos" w:hAnsiTheme="minorBidi" w:cstheme="minorBidi"/>
          <w:sz w:val="22"/>
          <w:szCs w:val="22"/>
        </w:rPr>
        <w:t xml:space="preserve"> 2024</w:t>
      </w:r>
      <w:proofErr w:type="gramEnd"/>
      <w:r w:rsidRPr="00220024">
        <w:rPr>
          <w:rFonts w:asciiTheme="minorBidi" w:eastAsia="Aptos" w:hAnsiTheme="minorBidi" w:cstheme="minorBidi"/>
          <w:sz w:val="22"/>
          <w:szCs w:val="22"/>
        </w:rPr>
        <w:t>.</w:t>
      </w:r>
    </w:p>
    <w:p w14:paraId="527C8191" w14:textId="6BDDEB0E" w:rsidR="00A33784" w:rsidRDefault="00A33784" w:rsidP="00B127BF">
      <w:pPr>
        <w:jc w:val="both"/>
        <w:rPr>
          <w:rFonts w:asciiTheme="minorBidi" w:hAnsiTheme="minorBidi" w:cstheme="minorBidi"/>
          <w:sz w:val="22"/>
          <w:szCs w:val="22"/>
        </w:rPr>
      </w:pPr>
      <w:r>
        <w:rPr>
          <w:rFonts w:asciiTheme="minorBidi" w:eastAsia="Aptos" w:hAnsiTheme="minorBidi" w:cstheme="minorBidi"/>
          <w:color w:val="000000" w:themeColor="text1"/>
          <w:sz w:val="22"/>
          <w:szCs w:val="22"/>
        </w:rPr>
        <w:t>It was reported that w</w:t>
      </w:r>
      <w:r w:rsidRPr="00220024">
        <w:rPr>
          <w:rFonts w:asciiTheme="minorBidi" w:eastAsia="Aptos" w:hAnsiTheme="minorBidi" w:cstheme="minorBidi"/>
          <w:color w:val="000000" w:themeColor="text1"/>
          <w:sz w:val="22"/>
          <w:szCs w:val="22"/>
        </w:rPr>
        <w:t xml:space="preserve">ork </w:t>
      </w:r>
      <w:r>
        <w:rPr>
          <w:rFonts w:asciiTheme="minorBidi" w:eastAsia="Aptos" w:hAnsiTheme="minorBidi" w:cstheme="minorBidi"/>
          <w:color w:val="000000" w:themeColor="text1"/>
          <w:sz w:val="22"/>
          <w:szCs w:val="22"/>
        </w:rPr>
        <w:t xml:space="preserve">was </w:t>
      </w:r>
      <w:r w:rsidRPr="00220024">
        <w:rPr>
          <w:rFonts w:asciiTheme="minorBidi" w:eastAsia="Aptos" w:hAnsiTheme="minorBidi" w:cstheme="minorBidi"/>
          <w:color w:val="000000" w:themeColor="text1"/>
          <w:sz w:val="22"/>
          <w:szCs w:val="22"/>
        </w:rPr>
        <w:t>underway to respond to the monitoring returns due as part of the first year of the OF&amp;AM</w:t>
      </w:r>
      <w:r>
        <w:rPr>
          <w:rFonts w:asciiTheme="minorBidi" w:eastAsia="Aptos" w:hAnsiTheme="minorBidi" w:cstheme="minorBidi"/>
          <w:color w:val="000000" w:themeColor="text1"/>
          <w:sz w:val="22"/>
          <w:szCs w:val="22"/>
        </w:rPr>
        <w:t xml:space="preserve"> and that the </w:t>
      </w:r>
      <w:r w:rsidRPr="00220024">
        <w:rPr>
          <w:rFonts w:asciiTheme="minorBidi" w:hAnsiTheme="minorBidi" w:cstheme="minorBidi"/>
          <w:sz w:val="22"/>
          <w:szCs w:val="22"/>
        </w:rPr>
        <w:t>SFC ha</w:t>
      </w:r>
      <w:r>
        <w:rPr>
          <w:rFonts w:asciiTheme="minorBidi" w:hAnsiTheme="minorBidi" w:cstheme="minorBidi"/>
          <w:sz w:val="22"/>
          <w:szCs w:val="22"/>
        </w:rPr>
        <w:t xml:space="preserve">d </w:t>
      </w:r>
      <w:r w:rsidRPr="00220024">
        <w:rPr>
          <w:rFonts w:asciiTheme="minorBidi" w:hAnsiTheme="minorBidi" w:cstheme="minorBidi"/>
          <w:sz w:val="22"/>
          <w:szCs w:val="22"/>
        </w:rPr>
        <w:t xml:space="preserve">stated that returns </w:t>
      </w:r>
      <w:r>
        <w:rPr>
          <w:rFonts w:asciiTheme="minorBidi" w:hAnsiTheme="minorBidi" w:cstheme="minorBidi"/>
          <w:sz w:val="22"/>
          <w:szCs w:val="22"/>
        </w:rPr>
        <w:t xml:space="preserve">would </w:t>
      </w:r>
      <w:r w:rsidRPr="00220024">
        <w:rPr>
          <w:rFonts w:asciiTheme="minorBidi" w:hAnsiTheme="minorBidi" w:cstheme="minorBidi"/>
          <w:sz w:val="22"/>
          <w:szCs w:val="22"/>
        </w:rPr>
        <w:t xml:space="preserve">be signed off by the </w:t>
      </w:r>
      <w:proofErr w:type="gramStart"/>
      <w:r w:rsidRPr="00220024">
        <w:rPr>
          <w:rFonts w:asciiTheme="minorBidi" w:hAnsiTheme="minorBidi" w:cstheme="minorBidi"/>
          <w:sz w:val="22"/>
          <w:szCs w:val="22"/>
        </w:rPr>
        <w:t>Principal</w:t>
      </w:r>
      <w:proofErr w:type="gramEnd"/>
      <w:r w:rsidRPr="00220024">
        <w:rPr>
          <w:rFonts w:asciiTheme="minorBidi" w:hAnsiTheme="minorBidi" w:cstheme="minorBidi"/>
          <w:sz w:val="22"/>
          <w:szCs w:val="22"/>
        </w:rPr>
        <w:t xml:space="preserve"> on behalf of governing bodies (unless explicitly stated otherwise). In line with internal governance arrangements – and given the continued forward-looking nature of some aspects of each return</w:t>
      </w:r>
      <w:r>
        <w:rPr>
          <w:rFonts w:asciiTheme="minorBidi" w:hAnsiTheme="minorBidi" w:cstheme="minorBidi"/>
          <w:sz w:val="22"/>
          <w:szCs w:val="22"/>
        </w:rPr>
        <w:t xml:space="preserve">, it was proposed that </w:t>
      </w:r>
      <w:r w:rsidRPr="00220024">
        <w:rPr>
          <w:rFonts w:asciiTheme="minorBidi" w:hAnsiTheme="minorBidi" w:cstheme="minorBidi"/>
          <w:sz w:val="22"/>
          <w:szCs w:val="22"/>
        </w:rPr>
        <w:t>each</w:t>
      </w:r>
      <w:r>
        <w:rPr>
          <w:rFonts w:asciiTheme="minorBidi" w:hAnsiTheme="minorBidi" w:cstheme="minorBidi"/>
          <w:sz w:val="22"/>
          <w:szCs w:val="22"/>
        </w:rPr>
        <w:t xml:space="preserve"> return would be shared</w:t>
      </w:r>
      <w:r w:rsidRPr="00220024">
        <w:rPr>
          <w:rFonts w:asciiTheme="minorBidi" w:hAnsiTheme="minorBidi" w:cstheme="minorBidi"/>
          <w:sz w:val="22"/>
          <w:szCs w:val="22"/>
        </w:rPr>
        <w:t xml:space="preserve"> with Court ahead of submission to SFC. </w:t>
      </w:r>
      <w:r>
        <w:rPr>
          <w:rFonts w:asciiTheme="minorBidi" w:hAnsiTheme="minorBidi" w:cstheme="minorBidi"/>
          <w:sz w:val="22"/>
          <w:szCs w:val="22"/>
        </w:rPr>
        <w:t xml:space="preserve">Court </w:t>
      </w:r>
      <w:r w:rsidR="00B127BF">
        <w:rPr>
          <w:rFonts w:asciiTheme="minorBidi" w:hAnsiTheme="minorBidi" w:cstheme="minorBidi"/>
          <w:sz w:val="22"/>
          <w:szCs w:val="22"/>
        </w:rPr>
        <w:t>agreed that due to</w:t>
      </w:r>
      <w:r>
        <w:rPr>
          <w:rFonts w:asciiTheme="minorBidi" w:hAnsiTheme="minorBidi" w:cstheme="minorBidi"/>
          <w:sz w:val="22"/>
          <w:szCs w:val="22"/>
        </w:rPr>
        <w:t xml:space="preserve"> timing</w:t>
      </w:r>
      <w:r w:rsidRPr="00220024">
        <w:rPr>
          <w:rFonts w:asciiTheme="minorBidi" w:hAnsiTheme="minorBidi" w:cstheme="minorBidi"/>
          <w:sz w:val="22"/>
          <w:szCs w:val="22"/>
        </w:rPr>
        <w:t xml:space="preserve"> issues </w:t>
      </w:r>
      <w:r w:rsidR="00B127BF">
        <w:rPr>
          <w:rFonts w:asciiTheme="minorBidi" w:hAnsiTheme="minorBidi" w:cstheme="minorBidi"/>
          <w:sz w:val="22"/>
          <w:szCs w:val="22"/>
        </w:rPr>
        <w:t xml:space="preserve">with the </w:t>
      </w:r>
      <w:r w:rsidRPr="00220024">
        <w:rPr>
          <w:rFonts w:asciiTheme="minorBidi" w:hAnsiTheme="minorBidi" w:cstheme="minorBidi"/>
          <w:sz w:val="22"/>
          <w:szCs w:val="22"/>
        </w:rPr>
        <w:t>sporadic deadlines associated with the new suite of monitoring returns</w:t>
      </w:r>
      <w:r w:rsidR="00B127BF">
        <w:rPr>
          <w:rFonts w:asciiTheme="minorBidi" w:hAnsiTheme="minorBidi" w:cstheme="minorBidi"/>
          <w:sz w:val="22"/>
          <w:szCs w:val="22"/>
        </w:rPr>
        <w:t>, documents could be shared with Court by email and reported retrospectively at the next meeting of Court.</w:t>
      </w:r>
    </w:p>
    <w:p w14:paraId="08125723" w14:textId="77777777" w:rsidR="00B127BF" w:rsidRDefault="00B127BF" w:rsidP="00B127BF">
      <w:pPr>
        <w:jc w:val="both"/>
        <w:rPr>
          <w:rFonts w:asciiTheme="minorBidi" w:hAnsiTheme="minorBidi" w:cstheme="minorBidi"/>
          <w:sz w:val="22"/>
          <w:szCs w:val="22"/>
        </w:rPr>
      </w:pPr>
    </w:p>
    <w:p w14:paraId="3AF00729" w14:textId="4A2893E2" w:rsidR="00B127BF" w:rsidRPr="007B05D8" w:rsidRDefault="002C0502" w:rsidP="00B127BF">
      <w:pPr>
        <w:spacing w:after="120"/>
        <w:jc w:val="both"/>
        <w:rPr>
          <w:rFonts w:asciiTheme="minorBidi" w:eastAsia="Aptos" w:hAnsiTheme="minorBidi" w:cstheme="minorBidi"/>
          <w:color w:val="000000" w:themeColor="text1"/>
          <w:sz w:val="22"/>
          <w:szCs w:val="22"/>
        </w:rPr>
      </w:pPr>
      <w:r w:rsidRPr="009B1EA4">
        <w:rPr>
          <w:rFonts w:asciiTheme="minorBidi" w:hAnsiTheme="minorBidi" w:cstheme="minorBidi"/>
          <w:sz w:val="22"/>
          <w:szCs w:val="22"/>
        </w:rPr>
        <w:t xml:space="preserve">Court received </w:t>
      </w:r>
      <w:r w:rsidR="00B127BF">
        <w:rPr>
          <w:rFonts w:asciiTheme="minorBidi" w:hAnsiTheme="minorBidi" w:cstheme="minorBidi"/>
          <w:sz w:val="22"/>
          <w:szCs w:val="22"/>
        </w:rPr>
        <w:t xml:space="preserve">the </w:t>
      </w:r>
      <w:r w:rsidR="00B127BF" w:rsidRPr="007B05D8">
        <w:rPr>
          <w:rFonts w:asciiTheme="minorBidi" w:eastAsia="Aptos" w:hAnsiTheme="minorBidi" w:cstheme="minorBidi"/>
          <w:color w:val="000000" w:themeColor="text1"/>
          <w:sz w:val="22"/>
          <w:szCs w:val="22"/>
        </w:rPr>
        <w:t xml:space="preserve">University's proposed submission to SFC </w:t>
      </w:r>
      <w:r w:rsidR="00B127BF">
        <w:rPr>
          <w:rFonts w:asciiTheme="minorBidi" w:eastAsia="Aptos" w:hAnsiTheme="minorBidi" w:cstheme="minorBidi"/>
          <w:color w:val="000000" w:themeColor="text1"/>
          <w:sz w:val="22"/>
          <w:szCs w:val="22"/>
        </w:rPr>
        <w:t>regarding</w:t>
      </w:r>
      <w:r w:rsidR="00B127BF" w:rsidRPr="007B05D8">
        <w:rPr>
          <w:rFonts w:asciiTheme="minorBidi" w:eastAsia="Aptos" w:hAnsiTheme="minorBidi" w:cstheme="minorBidi"/>
          <w:color w:val="000000" w:themeColor="text1"/>
          <w:sz w:val="22"/>
          <w:szCs w:val="22"/>
        </w:rPr>
        <w:t xml:space="preserve"> </w:t>
      </w:r>
      <w:r w:rsidR="00B127BF">
        <w:rPr>
          <w:rFonts w:asciiTheme="minorBidi" w:eastAsia="Aptos" w:hAnsiTheme="minorBidi" w:cstheme="minorBidi"/>
          <w:color w:val="000000" w:themeColor="text1"/>
          <w:sz w:val="22"/>
          <w:szCs w:val="22"/>
        </w:rPr>
        <w:t>the</w:t>
      </w:r>
      <w:r w:rsidR="00B127BF" w:rsidRPr="007B05D8">
        <w:rPr>
          <w:rFonts w:asciiTheme="minorBidi" w:eastAsia="Aptos" w:hAnsiTheme="minorBidi" w:cstheme="minorBidi"/>
          <w:color w:val="000000" w:themeColor="text1"/>
          <w:sz w:val="22"/>
          <w:szCs w:val="22"/>
        </w:rPr>
        <w:t xml:space="preserve"> use of research related funding as part of </w:t>
      </w:r>
      <w:r w:rsidR="00B127BF">
        <w:rPr>
          <w:rFonts w:asciiTheme="minorBidi" w:eastAsia="Aptos" w:hAnsiTheme="minorBidi" w:cstheme="minorBidi"/>
          <w:color w:val="000000" w:themeColor="text1"/>
          <w:sz w:val="22"/>
          <w:szCs w:val="22"/>
        </w:rPr>
        <w:t>the University’s</w:t>
      </w:r>
      <w:r w:rsidR="00B127BF" w:rsidRPr="007B05D8">
        <w:rPr>
          <w:rFonts w:asciiTheme="minorBidi" w:eastAsia="Aptos" w:hAnsiTheme="minorBidi" w:cstheme="minorBidi"/>
          <w:color w:val="000000" w:themeColor="text1"/>
          <w:sz w:val="22"/>
          <w:szCs w:val="22"/>
        </w:rPr>
        <w:t xml:space="preserve"> commitments under the new Outcomes Framework and Assurance Model (replacing the previous Outcome Agreement regime). </w:t>
      </w:r>
    </w:p>
    <w:p w14:paraId="15E225AD" w14:textId="4DD60118" w:rsidR="002C0502" w:rsidRPr="009B1EA4" w:rsidRDefault="002C0502" w:rsidP="002C0502">
      <w:pPr>
        <w:tabs>
          <w:tab w:val="left" w:pos="0"/>
        </w:tabs>
        <w:autoSpaceDE/>
        <w:autoSpaceDN/>
        <w:spacing w:after="120"/>
        <w:jc w:val="both"/>
        <w:rPr>
          <w:rFonts w:asciiTheme="minorBidi" w:hAnsiTheme="minorBidi" w:cstheme="minorBidi"/>
          <w:i/>
          <w:iCs/>
          <w:sz w:val="22"/>
          <w:szCs w:val="22"/>
        </w:rPr>
      </w:pPr>
      <w:r w:rsidRPr="009B1EA4">
        <w:rPr>
          <w:rFonts w:asciiTheme="minorBidi" w:hAnsiTheme="minorBidi" w:cstheme="minorBidi"/>
          <w:sz w:val="22"/>
          <w:szCs w:val="22"/>
        </w:rPr>
        <w:t xml:space="preserve">Court approved the </w:t>
      </w:r>
      <w:r w:rsidR="00B127BF" w:rsidRPr="007B05D8">
        <w:rPr>
          <w:rFonts w:asciiTheme="minorBidi" w:eastAsia="Aptos" w:hAnsiTheme="minorBidi" w:cstheme="minorBidi"/>
          <w:color w:val="000000" w:themeColor="text1"/>
          <w:sz w:val="22"/>
          <w:szCs w:val="22"/>
        </w:rPr>
        <w:t>Research Assurance and Accountability Return (RAAR)</w:t>
      </w:r>
      <w:r w:rsidRPr="009B1EA4">
        <w:rPr>
          <w:rFonts w:asciiTheme="minorBidi" w:hAnsiTheme="minorBidi" w:cstheme="minorBidi"/>
          <w:sz w:val="22"/>
          <w:szCs w:val="22"/>
        </w:rPr>
        <w:t xml:space="preserve"> for 202</w:t>
      </w:r>
      <w:r w:rsidR="00B127BF">
        <w:rPr>
          <w:rFonts w:asciiTheme="minorBidi" w:hAnsiTheme="minorBidi" w:cstheme="minorBidi"/>
          <w:sz w:val="22"/>
          <w:szCs w:val="22"/>
        </w:rPr>
        <w:t>4/25</w:t>
      </w:r>
      <w:r w:rsidRPr="009B1EA4">
        <w:rPr>
          <w:rFonts w:asciiTheme="minorBidi" w:hAnsiTheme="minorBidi" w:cstheme="minorBidi"/>
          <w:sz w:val="22"/>
          <w:szCs w:val="22"/>
        </w:rPr>
        <w:t>.</w:t>
      </w:r>
    </w:p>
    <w:p w14:paraId="1FCC203D" w14:textId="120E56A2" w:rsidR="002C0502" w:rsidRPr="006A4174" w:rsidRDefault="000D31D4" w:rsidP="002C0502">
      <w:pPr>
        <w:pStyle w:val="SectText2"/>
        <w:ind w:left="540" w:right="-284" w:hanging="540"/>
        <w:rPr>
          <w:rFonts w:ascii="Arial" w:hAnsi="Arial" w:cs="Arial"/>
          <w:i/>
          <w:iCs/>
          <w:szCs w:val="22"/>
        </w:rPr>
      </w:pPr>
      <w:r w:rsidRPr="000D31D4">
        <w:rPr>
          <w:rFonts w:asciiTheme="minorBidi" w:hAnsiTheme="minorBidi" w:cstheme="minorBidi"/>
          <w:i/>
          <w:iCs/>
          <w:szCs w:val="22"/>
        </w:rPr>
        <w:lastRenderedPageBreak/>
        <w:t>CRT/2024/10.</w:t>
      </w:r>
      <w:r>
        <w:rPr>
          <w:rFonts w:asciiTheme="minorBidi" w:hAnsiTheme="minorBidi" w:cstheme="minorBidi"/>
          <w:i/>
          <w:iCs/>
          <w:szCs w:val="22"/>
        </w:rPr>
        <w:t>9</w:t>
      </w:r>
      <w:r w:rsidRPr="000D31D4">
        <w:rPr>
          <w:rFonts w:asciiTheme="minorBidi" w:hAnsiTheme="minorBidi" w:cstheme="minorBidi"/>
          <w:i/>
          <w:iCs/>
          <w:szCs w:val="22"/>
        </w:rPr>
        <w:t xml:space="preserve"> </w:t>
      </w:r>
      <w:r w:rsidR="002C0502" w:rsidRPr="006A4174">
        <w:rPr>
          <w:rFonts w:ascii="Arial" w:hAnsi="Arial" w:cs="Arial"/>
          <w:i/>
          <w:iCs/>
          <w:szCs w:val="22"/>
        </w:rPr>
        <w:t>Student Contract</w:t>
      </w:r>
    </w:p>
    <w:p w14:paraId="11B2FE1E" w14:textId="39D6B78A" w:rsidR="000D31D4" w:rsidRDefault="002C0502" w:rsidP="000D31D4">
      <w:pPr>
        <w:pStyle w:val="SectText2"/>
        <w:spacing w:after="240"/>
        <w:ind w:left="0" w:right="-284"/>
        <w:rPr>
          <w:rStyle w:val="cf01"/>
          <w:rFonts w:asciiTheme="minorBidi" w:hAnsiTheme="minorBidi" w:cstheme="minorBidi"/>
          <w:sz w:val="22"/>
          <w:szCs w:val="22"/>
        </w:rPr>
      </w:pPr>
      <w:r w:rsidRPr="003147B5">
        <w:rPr>
          <w:rStyle w:val="cf01"/>
          <w:rFonts w:asciiTheme="minorBidi" w:hAnsiTheme="minorBidi" w:cstheme="minorBidi"/>
          <w:sz w:val="22"/>
          <w:szCs w:val="22"/>
        </w:rPr>
        <w:t>The student contract, to which all students sign up at registration, had been updated for academic session 202</w:t>
      </w:r>
      <w:r w:rsidR="000D31D4">
        <w:rPr>
          <w:rStyle w:val="cf01"/>
          <w:rFonts w:asciiTheme="minorBidi" w:hAnsiTheme="minorBidi" w:cstheme="minorBidi"/>
          <w:sz w:val="22"/>
          <w:szCs w:val="22"/>
        </w:rPr>
        <w:t>4</w:t>
      </w:r>
      <w:r w:rsidRPr="003147B5">
        <w:rPr>
          <w:rStyle w:val="cf01"/>
          <w:rFonts w:asciiTheme="minorBidi" w:hAnsiTheme="minorBidi" w:cstheme="minorBidi"/>
          <w:sz w:val="22"/>
          <w:szCs w:val="22"/>
        </w:rPr>
        <w:t>-2</w:t>
      </w:r>
      <w:r w:rsidR="000D31D4">
        <w:rPr>
          <w:rStyle w:val="cf01"/>
          <w:rFonts w:asciiTheme="minorBidi" w:hAnsiTheme="minorBidi" w:cstheme="minorBidi"/>
          <w:sz w:val="22"/>
          <w:szCs w:val="22"/>
        </w:rPr>
        <w:t>5</w:t>
      </w:r>
      <w:r w:rsidRPr="003147B5">
        <w:rPr>
          <w:rStyle w:val="cf01"/>
          <w:rFonts w:asciiTheme="minorBidi" w:hAnsiTheme="minorBidi" w:cstheme="minorBidi"/>
          <w:sz w:val="22"/>
          <w:szCs w:val="22"/>
        </w:rPr>
        <w:t xml:space="preserve">. Court noted that the University Secretary had approved the updated contract on behalf of Court. </w:t>
      </w:r>
    </w:p>
    <w:p w14:paraId="21AF79A1" w14:textId="77777777" w:rsidR="000D31D4" w:rsidRDefault="000D31D4" w:rsidP="000D31D4">
      <w:pPr>
        <w:pStyle w:val="SectText2"/>
        <w:ind w:left="0" w:right="-284"/>
        <w:rPr>
          <w:rFonts w:asciiTheme="minorBidi" w:hAnsiTheme="minorBidi" w:cstheme="minorBidi"/>
          <w:bCs/>
          <w:szCs w:val="22"/>
        </w:rPr>
      </w:pPr>
      <w:r w:rsidRPr="000D31D4">
        <w:rPr>
          <w:rFonts w:asciiTheme="minorBidi" w:hAnsiTheme="minorBidi" w:cstheme="minorBidi"/>
          <w:i/>
          <w:iCs/>
          <w:szCs w:val="22"/>
        </w:rPr>
        <w:t>CRT/2024/10.</w:t>
      </w:r>
      <w:r>
        <w:rPr>
          <w:rFonts w:asciiTheme="minorBidi" w:hAnsiTheme="minorBidi" w:cstheme="minorBidi"/>
          <w:i/>
          <w:iCs/>
          <w:szCs w:val="22"/>
        </w:rPr>
        <w:t xml:space="preserve">10 </w:t>
      </w:r>
      <w:r w:rsidR="002C0502" w:rsidRPr="006A4174">
        <w:rPr>
          <w:rFonts w:ascii="Arial" w:hAnsi="Arial" w:cs="Arial"/>
          <w:i/>
          <w:iCs/>
          <w:szCs w:val="22"/>
        </w:rPr>
        <w:t>Head of School Appointments</w:t>
      </w:r>
    </w:p>
    <w:p w14:paraId="0D57BD49" w14:textId="4F5F9A4E" w:rsidR="002C0502" w:rsidRPr="000D31D4" w:rsidRDefault="002C0502" w:rsidP="000D31D4">
      <w:pPr>
        <w:pStyle w:val="SectText2"/>
        <w:ind w:left="0" w:right="-284"/>
        <w:rPr>
          <w:rFonts w:asciiTheme="minorBidi" w:hAnsiTheme="minorBidi" w:cstheme="minorBidi"/>
          <w:bCs/>
          <w:szCs w:val="22"/>
        </w:rPr>
      </w:pPr>
      <w:r w:rsidRPr="006A4174">
        <w:rPr>
          <w:rFonts w:ascii="Arial" w:hAnsi="Arial" w:cs="Arial"/>
          <w:szCs w:val="22"/>
        </w:rPr>
        <w:t>Court noted the following changes, and congratulated the individuals on their new roles:</w:t>
      </w:r>
    </w:p>
    <w:p w14:paraId="5B5F0A2A" w14:textId="77777777" w:rsidR="002C0502" w:rsidRPr="002351F8" w:rsidRDefault="002C0502" w:rsidP="000D31D4">
      <w:pPr>
        <w:pStyle w:val="SectText2"/>
        <w:ind w:left="0" w:right="-284"/>
        <w:rPr>
          <w:rFonts w:asciiTheme="minorBidi" w:hAnsiTheme="minorBidi" w:cstheme="minorBidi"/>
        </w:rPr>
      </w:pPr>
      <w:r w:rsidRPr="002351F8">
        <w:rPr>
          <w:rFonts w:asciiTheme="minorBidi" w:hAnsiTheme="minorBidi" w:cstheme="minorBidi"/>
        </w:rPr>
        <w:t>College of Medical, Veterinary and Life Sciences</w:t>
      </w:r>
    </w:p>
    <w:p w14:paraId="3D7CB5A8" w14:textId="50A7017B" w:rsidR="00B127BF" w:rsidRPr="00B2789C" w:rsidRDefault="00B127BF" w:rsidP="00B127BF">
      <w:pPr>
        <w:pStyle w:val="SectText2"/>
        <w:ind w:left="0" w:right="-284"/>
        <w:rPr>
          <w:rFonts w:asciiTheme="minorBidi" w:hAnsiTheme="minorBidi" w:cstheme="minorBidi"/>
          <w:i/>
          <w:iCs/>
          <w:lang w:val="en-US"/>
        </w:rPr>
      </w:pPr>
      <w:r w:rsidRPr="00B2789C">
        <w:rPr>
          <w:rFonts w:asciiTheme="minorBidi" w:hAnsiTheme="minorBidi" w:cstheme="minorBidi"/>
          <w:i/>
          <w:iCs/>
          <w:szCs w:val="22"/>
        </w:rPr>
        <w:t xml:space="preserve">Head of the School for </w:t>
      </w:r>
      <w:r w:rsidRPr="00B2789C">
        <w:rPr>
          <w:rFonts w:asciiTheme="minorBidi" w:hAnsiTheme="minorBidi" w:cstheme="minorBidi"/>
          <w:i/>
          <w:iCs/>
          <w:lang w:val="en-US"/>
        </w:rPr>
        <w:t xml:space="preserve">Head of School of </w:t>
      </w:r>
      <w:r w:rsidR="0073164A">
        <w:rPr>
          <w:rFonts w:asciiTheme="minorBidi" w:hAnsiTheme="minorBidi" w:cstheme="minorBidi"/>
          <w:i/>
          <w:iCs/>
          <w:lang w:val="en-US"/>
        </w:rPr>
        <w:t>Medicine, Dentistry and Nursing</w:t>
      </w:r>
    </w:p>
    <w:p w14:paraId="7451C3AC" w14:textId="76299F2C" w:rsidR="00B127BF" w:rsidRDefault="00B127BF" w:rsidP="00B127BF">
      <w:pPr>
        <w:pStyle w:val="SectText2"/>
        <w:ind w:left="0"/>
        <w:rPr>
          <w:rFonts w:asciiTheme="minorBidi" w:hAnsiTheme="minorBidi" w:cstheme="minorBidi"/>
          <w:szCs w:val="22"/>
        </w:rPr>
      </w:pPr>
      <w:r w:rsidRPr="002351F8">
        <w:rPr>
          <w:rFonts w:asciiTheme="minorBidi" w:hAnsiTheme="minorBidi" w:cstheme="minorBidi"/>
          <w:szCs w:val="22"/>
        </w:rPr>
        <w:t xml:space="preserve">Professor </w:t>
      </w:r>
      <w:r>
        <w:rPr>
          <w:rFonts w:asciiTheme="minorBidi" w:hAnsiTheme="minorBidi" w:cstheme="minorBidi"/>
          <w:szCs w:val="22"/>
        </w:rPr>
        <w:t>Matthew Walters</w:t>
      </w:r>
      <w:r w:rsidRPr="002351F8">
        <w:rPr>
          <w:rFonts w:asciiTheme="minorBidi" w:hAnsiTheme="minorBidi" w:cstheme="minorBidi"/>
          <w:szCs w:val="22"/>
        </w:rPr>
        <w:t xml:space="preserve"> ha</w:t>
      </w:r>
      <w:r>
        <w:rPr>
          <w:rFonts w:asciiTheme="minorBidi" w:hAnsiTheme="minorBidi" w:cstheme="minorBidi"/>
          <w:szCs w:val="22"/>
        </w:rPr>
        <w:t>d</w:t>
      </w:r>
      <w:r w:rsidRPr="002351F8">
        <w:rPr>
          <w:rFonts w:asciiTheme="minorBidi" w:hAnsiTheme="minorBidi" w:cstheme="minorBidi"/>
          <w:szCs w:val="22"/>
        </w:rPr>
        <w:t xml:space="preserve"> been </w:t>
      </w:r>
      <w:r>
        <w:rPr>
          <w:rFonts w:asciiTheme="minorBidi" w:hAnsiTheme="minorBidi" w:cstheme="minorBidi"/>
          <w:szCs w:val="22"/>
        </w:rPr>
        <w:t>re-</w:t>
      </w:r>
      <w:r w:rsidRPr="002351F8">
        <w:rPr>
          <w:rFonts w:asciiTheme="minorBidi" w:hAnsiTheme="minorBidi" w:cstheme="minorBidi"/>
          <w:szCs w:val="22"/>
        </w:rPr>
        <w:t>appointed as the Head of the School from 1 August 202</w:t>
      </w:r>
      <w:r>
        <w:rPr>
          <w:rFonts w:asciiTheme="minorBidi" w:hAnsiTheme="minorBidi" w:cstheme="minorBidi"/>
          <w:szCs w:val="22"/>
        </w:rPr>
        <w:t>4</w:t>
      </w:r>
      <w:r w:rsidRPr="002351F8">
        <w:rPr>
          <w:rFonts w:asciiTheme="minorBidi" w:hAnsiTheme="minorBidi" w:cstheme="minorBidi"/>
          <w:szCs w:val="22"/>
        </w:rPr>
        <w:t xml:space="preserve"> for </w:t>
      </w:r>
      <w:r>
        <w:rPr>
          <w:rFonts w:asciiTheme="minorBidi" w:hAnsiTheme="minorBidi" w:cstheme="minorBidi"/>
          <w:szCs w:val="22"/>
        </w:rPr>
        <w:t xml:space="preserve">2 </w:t>
      </w:r>
      <w:r w:rsidRPr="002351F8">
        <w:rPr>
          <w:rFonts w:asciiTheme="minorBidi" w:hAnsiTheme="minorBidi" w:cstheme="minorBidi"/>
          <w:szCs w:val="22"/>
        </w:rPr>
        <w:t>years.</w:t>
      </w:r>
    </w:p>
    <w:p w14:paraId="35D2E308" w14:textId="312669C4" w:rsidR="000D31D4" w:rsidRPr="00B127BF" w:rsidRDefault="000D31D4" w:rsidP="00B127BF">
      <w:pPr>
        <w:pStyle w:val="SectText2"/>
        <w:ind w:left="540" w:right="-284" w:hanging="540"/>
        <w:rPr>
          <w:rFonts w:ascii="Arial" w:hAnsi="Arial" w:cs="Arial"/>
          <w:i/>
          <w:szCs w:val="22"/>
        </w:rPr>
      </w:pPr>
      <w:r w:rsidRPr="000D31D4">
        <w:rPr>
          <w:rFonts w:asciiTheme="minorBidi" w:hAnsiTheme="minorBidi" w:cstheme="minorBidi"/>
          <w:i/>
          <w:iCs/>
          <w:szCs w:val="22"/>
        </w:rPr>
        <w:t>CRT/2024/10.</w:t>
      </w:r>
      <w:r>
        <w:rPr>
          <w:rFonts w:asciiTheme="minorBidi" w:hAnsiTheme="minorBidi" w:cstheme="minorBidi"/>
          <w:i/>
          <w:iCs/>
          <w:szCs w:val="22"/>
        </w:rPr>
        <w:t>11</w:t>
      </w:r>
      <w:r w:rsidRPr="000D31D4">
        <w:rPr>
          <w:rFonts w:asciiTheme="minorBidi" w:hAnsiTheme="minorBidi" w:cstheme="minorBidi"/>
          <w:i/>
          <w:iCs/>
          <w:szCs w:val="22"/>
        </w:rPr>
        <w:t xml:space="preserve"> </w:t>
      </w:r>
      <w:r w:rsidR="00B127BF">
        <w:rPr>
          <w:rFonts w:ascii="Arial" w:hAnsi="Arial" w:cs="Arial"/>
          <w:i/>
          <w:szCs w:val="22"/>
        </w:rPr>
        <w:t xml:space="preserve">Draft Resolution - </w:t>
      </w:r>
      <w:r w:rsidR="00B127BF" w:rsidRPr="00A776AC">
        <w:rPr>
          <w:rFonts w:ascii="Arial" w:hAnsi="Arial" w:cs="Arial"/>
          <w:i/>
          <w:szCs w:val="22"/>
        </w:rPr>
        <w:t xml:space="preserve">Named Chair – </w:t>
      </w:r>
      <w:r w:rsidR="00B127BF" w:rsidRPr="00A776AC">
        <w:rPr>
          <w:rFonts w:ascii="Arial" w:hAnsi="Arial"/>
          <w:i/>
          <w:iCs/>
          <w:szCs w:val="22"/>
        </w:rPr>
        <w:t>Sir Alexander Stone Chair in Commercial Law</w:t>
      </w:r>
    </w:p>
    <w:p w14:paraId="12A5BE58" w14:textId="11944167" w:rsidR="00F0417D" w:rsidRPr="00C20417" w:rsidRDefault="00F0417D" w:rsidP="00F0417D">
      <w:pPr>
        <w:pStyle w:val="SectText2"/>
        <w:ind w:left="0" w:right="-284"/>
        <w:rPr>
          <w:rFonts w:asciiTheme="minorBidi" w:hAnsiTheme="minorBidi" w:cstheme="minorBidi"/>
          <w:bCs/>
          <w:szCs w:val="22"/>
        </w:rPr>
      </w:pPr>
      <w:r w:rsidRPr="002E5CF5">
        <w:rPr>
          <w:rFonts w:ascii="Arial" w:hAnsi="Arial" w:cs="Arial"/>
          <w:szCs w:val="22"/>
        </w:rPr>
        <w:t>Court noted</w:t>
      </w:r>
      <w:r>
        <w:rPr>
          <w:rFonts w:asciiTheme="minorBidi" w:hAnsiTheme="minorBidi" w:cstheme="minorBidi"/>
          <w:szCs w:val="22"/>
        </w:rPr>
        <w:t xml:space="preserve"> that f</w:t>
      </w:r>
      <w:r w:rsidRPr="00A776AC">
        <w:rPr>
          <w:rFonts w:ascii="Arial" w:hAnsi="Arial" w:cs="Arial"/>
          <w:bCs/>
          <w:szCs w:val="22"/>
        </w:rPr>
        <w:t>ollowing a review of Resolution 262 in relation to the Sir Alexander Stone Chair it was noted that although Court approved the name change f</w:t>
      </w:r>
      <w:r>
        <w:rPr>
          <w:rFonts w:ascii="Arial" w:hAnsi="Arial" w:cs="Arial"/>
          <w:bCs/>
          <w:szCs w:val="22"/>
        </w:rPr>
        <w:t>or the</w:t>
      </w:r>
      <w:r w:rsidRPr="00A776AC">
        <w:rPr>
          <w:rFonts w:ascii="Arial" w:hAnsi="Arial" w:cs="Arial"/>
          <w:bCs/>
          <w:szCs w:val="22"/>
        </w:rPr>
        <w:t xml:space="preserve"> Chair of Commercial Law to the Sir Alexander Stone Chair in Commercial Law, </w:t>
      </w:r>
      <w:r>
        <w:rPr>
          <w:rFonts w:ascii="Arial" w:hAnsi="Arial" w:cs="Arial"/>
          <w:bCs/>
          <w:szCs w:val="22"/>
        </w:rPr>
        <w:t xml:space="preserve">there is no official record of the resolution being updated to reflect this change which dated back to </w:t>
      </w:r>
      <w:r w:rsidRPr="00A776AC">
        <w:rPr>
          <w:rFonts w:ascii="Arial" w:hAnsi="Arial" w:cs="Arial"/>
          <w:bCs/>
          <w:szCs w:val="22"/>
        </w:rPr>
        <w:t>1986</w:t>
      </w:r>
      <w:r>
        <w:rPr>
          <w:rFonts w:ascii="Arial" w:hAnsi="Arial" w:cs="Arial"/>
          <w:bCs/>
          <w:szCs w:val="22"/>
        </w:rPr>
        <w:t>.</w:t>
      </w:r>
      <w:r>
        <w:rPr>
          <w:rFonts w:asciiTheme="minorBidi" w:hAnsiTheme="minorBidi" w:cstheme="minorBidi"/>
          <w:bCs/>
          <w:szCs w:val="22"/>
        </w:rPr>
        <w:t xml:space="preserve"> It was proposed that the draft resolution would go out for one month’s public consultation and would come back to the Court meeting in November for final approval to confirm the name change for the Chair. </w:t>
      </w:r>
    </w:p>
    <w:p w14:paraId="7B83E6E5" w14:textId="17862A97" w:rsidR="00F0417D" w:rsidRPr="00DF0977" w:rsidRDefault="00F0417D" w:rsidP="00F0417D">
      <w:pPr>
        <w:spacing w:after="120"/>
        <w:jc w:val="both"/>
        <w:rPr>
          <w:rFonts w:ascii="Arial" w:hAnsi="Arial" w:cs="Arial"/>
          <w:sz w:val="22"/>
          <w:szCs w:val="22"/>
          <w:lang w:val="en-US"/>
        </w:rPr>
      </w:pPr>
      <w:r w:rsidRPr="00DF0977">
        <w:rPr>
          <w:rFonts w:ascii="Arial" w:hAnsi="Arial" w:cs="Arial"/>
          <w:sz w:val="22"/>
          <w:szCs w:val="22"/>
        </w:rPr>
        <w:t xml:space="preserve">Court approved </w:t>
      </w:r>
      <w:r>
        <w:rPr>
          <w:rFonts w:ascii="Arial" w:hAnsi="Arial" w:cs="Arial"/>
          <w:sz w:val="22"/>
          <w:szCs w:val="22"/>
        </w:rPr>
        <w:t xml:space="preserve">Draft Resolution 713 </w:t>
      </w:r>
      <w:r w:rsidRPr="00F0417D">
        <w:rPr>
          <w:rFonts w:asciiTheme="minorBidi" w:hAnsiTheme="minorBidi" w:cstheme="minorBidi"/>
          <w:sz w:val="22"/>
          <w:szCs w:val="22"/>
        </w:rPr>
        <w:t>-</w:t>
      </w:r>
      <w:r w:rsidRPr="00F0417D">
        <w:rPr>
          <w:rFonts w:ascii="Arial" w:hAnsi="Arial" w:cs="Arial"/>
          <w:sz w:val="22"/>
          <w:szCs w:val="22"/>
        </w:rPr>
        <w:t xml:space="preserve"> Named Chair – </w:t>
      </w:r>
      <w:r w:rsidRPr="00F0417D">
        <w:rPr>
          <w:rFonts w:ascii="Arial" w:hAnsi="Arial"/>
          <w:sz w:val="22"/>
          <w:szCs w:val="22"/>
        </w:rPr>
        <w:t>Sir Alexander Stone Chair in Commercial Law</w:t>
      </w:r>
      <w:r w:rsidRPr="00F0417D">
        <w:rPr>
          <w:rFonts w:asciiTheme="minorBidi" w:hAnsiTheme="minorBidi" w:cstheme="minorBidi"/>
          <w:sz w:val="22"/>
          <w:szCs w:val="22"/>
        </w:rPr>
        <w:t xml:space="preserve"> </w:t>
      </w:r>
      <w:r>
        <w:rPr>
          <w:rFonts w:asciiTheme="minorBidi" w:hAnsiTheme="minorBidi" w:cstheme="minorBidi"/>
          <w:sz w:val="22"/>
          <w:szCs w:val="22"/>
        </w:rPr>
        <w:t>to move forward for public consultation.</w:t>
      </w:r>
    </w:p>
    <w:p w14:paraId="1F9E4A74" w14:textId="18944AB6" w:rsidR="000D31D4" w:rsidRPr="00B127BF" w:rsidRDefault="000D31D4" w:rsidP="00B127BF">
      <w:pPr>
        <w:pStyle w:val="SectText2"/>
        <w:ind w:left="540" w:right="-284" w:hanging="540"/>
        <w:rPr>
          <w:rFonts w:asciiTheme="minorBidi" w:hAnsiTheme="minorBidi" w:cstheme="minorBidi"/>
          <w:i/>
          <w:szCs w:val="22"/>
        </w:rPr>
      </w:pPr>
      <w:r w:rsidRPr="000D31D4">
        <w:rPr>
          <w:rFonts w:asciiTheme="minorBidi" w:hAnsiTheme="minorBidi" w:cstheme="minorBidi"/>
          <w:i/>
          <w:iCs/>
          <w:szCs w:val="22"/>
        </w:rPr>
        <w:t>CRT/2024/10.</w:t>
      </w:r>
      <w:r>
        <w:rPr>
          <w:rFonts w:asciiTheme="minorBidi" w:hAnsiTheme="minorBidi" w:cstheme="minorBidi"/>
          <w:i/>
          <w:iCs/>
          <w:szCs w:val="22"/>
        </w:rPr>
        <w:t>12</w:t>
      </w:r>
      <w:r w:rsidRPr="000D31D4">
        <w:rPr>
          <w:rFonts w:asciiTheme="minorBidi" w:hAnsiTheme="minorBidi" w:cstheme="minorBidi"/>
          <w:i/>
          <w:iCs/>
          <w:szCs w:val="22"/>
        </w:rPr>
        <w:t xml:space="preserve"> </w:t>
      </w:r>
      <w:r w:rsidR="00B127BF">
        <w:rPr>
          <w:rFonts w:asciiTheme="minorBidi" w:hAnsiTheme="minorBidi" w:cstheme="minorBidi"/>
          <w:szCs w:val="22"/>
        </w:rPr>
        <w:t xml:space="preserve">Resolution - </w:t>
      </w:r>
      <w:r w:rsidR="00B127BF">
        <w:rPr>
          <w:rFonts w:asciiTheme="minorBidi" w:hAnsiTheme="minorBidi" w:cstheme="minorBidi"/>
          <w:i/>
          <w:szCs w:val="22"/>
        </w:rPr>
        <w:t>Endowment Changes</w:t>
      </w:r>
    </w:p>
    <w:p w14:paraId="6AC7A69C" w14:textId="1C601A5E" w:rsidR="00F0417D" w:rsidRDefault="00B127BF" w:rsidP="00F0417D">
      <w:pPr>
        <w:spacing w:after="120"/>
        <w:rPr>
          <w:rFonts w:asciiTheme="minorBidi" w:hAnsiTheme="minorBidi" w:cstheme="minorBidi"/>
          <w:sz w:val="22"/>
          <w:szCs w:val="22"/>
        </w:rPr>
      </w:pPr>
      <w:r w:rsidRPr="009B1EA4">
        <w:rPr>
          <w:rFonts w:asciiTheme="minorBidi" w:hAnsiTheme="minorBidi" w:cstheme="minorBidi"/>
          <w:bCs/>
          <w:sz w:val="22"/>
          <w:szCs w:val="22"/>
        </w:rPr>
        <w:t>Court approved Resolution 70</w:t>
      </w:r>
      <w:r w:rsidR="00F0417D">
        <w:rPr>
          <w:rFonts w:asciiTheme="minorBidi" w:hAnsiTheme="minorBidi" w:cstheme="minorBidi"/>
          <w:bCs/>
          <w:sz w:val="22"/>
          <w:szCs w:val="22"/>
        </w:rPr>
        <w:t>8</w:t>
      </w:r>
      <w:r w:rsidRPr="009B1EA4">
        <w:rPr>
          <w:rFonts w:asciiTheme="minorBidi" w:hAnsiTheme="minorBidi" w:cstheme="minorBidi"/>
          <w:bCs/>
          <w:sz w:val="22"/>
          <w:szCs w:val="22"/>
        </w:rPr>
        <w:t xml:space="preserve"> - </w:t>
      </w:r>
      <w:r w:rsidR="00F0417D">
        <w:rPr>
          <w:rFonts w:asciiTheme="minorBidi" w:hAnsiTheme="minorBidi" w:cstheme="minorBidi"/>
          <w:bCs/>
          <w:sz w:val="22"/>
          <w:szCs w:val="22"/>
        </w:rPr>
        <w:t>R</w:t>
      </w:r>
      <w:r w:rsidR="00F0417D" w:rsidRPr="00F0417D">
        <w:rPr>
          <w:rFonts w:asciiTheme="minorBidi" w:hAnsiTheme="minorBidi" w:cstheme="minorBidi"/>
          <w:sz w:val="22"/>
          <w:szCs w:val="22"/>
        </w:rPr>
        <w:t xml:space="preserve">eorganisation of </w:t>
      </w:r>
      <w:r w:rsidR="00F0417D">
        <w:rPr>
          <w:rFonts w:asciiTheme="minorBidi" w:hAnsiTheme="minorBidi" w:cstheme="minorBidi"/>
          <w:sz w:val="22"/>
          <w:szCs w:val="22"/>
        </w:rPr>
        <w:t>R</w:t>
      </w:r>
      <w:r w:rsidR="00F0417D" w:rsidRPr="00F0417D">
        <w:rPr>
          <w:rFonts w:asciiTheme="minorBidi" w:hAnsiTheme="minorBidi" w:cstheme="minorBidi"/>
          <w:sz w:val="22"/>
          <w:szCs w:val="22"/>
        </w:rPr>
        <w:t xml:space="preserve">estricted </w:t>
      </w:r>
      <w:r w:rsidR="00F0417D">
        <w:rPr>
          <w:rFonts w:asciiTheme="minorBidi" w:hAnsiTheme="minorBidi" w:cstheme="minorBidi"/>
          <w:sz w:val="22"/>
          <w:szCs w:val="22"/>
        </w:rPr>
        <w:t>F</w:t>
      </w:r>
      <w:r w:rsidR="00F0417D" w:rsidRPr="00F0417D">
        <w:rPr>
          <w:rFonts w:asciiTheme="minorBidi" w:hAnsiTheme="minorBidi" w:cstheme="minorBidi"/>
          <w:sz w:val="22"/>
          <w:szCs w:val="22"/>
        </w:rPr>
        <w:t>unds (</w:t>
      </w:r>
      <w:r w:rsidR="00F0417D">
        <w:rPr>
          <w:rFonts w:asciiTheme="minorBidi" w:hAnsiTheme="minorBidi" w:cstheme="minorBidi"/>
          <w:sz w:val="22"/>
          <w:szCs w:val="22"/>
        </w:rPr>
        <w:t>G</w:t>
      </w:r>
      <w:r w:rsidR="00F0417D" w:rsidRPr="00F0417D">
        <w:rPr>
          <w:rFonts w:asciiTheme="minorBidi" w:hAnsiTheme="minorBidi" w:cstheme="minorBidi"/>
          <w:sz w:val="22"/>
          <w:szCs w:val="22"/>
        </w:rPr>
        <w:t xml:space="preserve">oudie and </w:t>
      </w:r>
      <w:r w:rsidR="00F0417D">
        <w:rPr>
          <w:rFonts w:asciiTheme="minorBidi" w:hAnsiTheme="minorBidi" w:cstheme="minorBidi"/>
          <w:sz w:val="22"/>
          <w:szCs w:val="22"/>
        </w:rPr>
        <w:t>S</w:t>
      </w:r>
      <w:r w:rsidR="00F0417D" w:rsidRPr="00F0417D">
        <w:rPr>
          <w:rFonts w:asciiTheme="minorBidi" w:hAnsiTheme="minorBidi" w:cstheme="minorBidi"/>
          <w:sz w:val="22"/>
          <w:szCs w:val="22"/>
        </w:rPr>
        <w:t>tevenson funds)</w:t>
      </w:r>
      <w:r w:rsidR="00F0417D">
        <w:rPr>
          <w:rFonts w:asciiTheme="minorBidi" w:hAnsiTheme="minorBidi" w:cstheme="minorBidi"/>
          <w:sz w:val="22"/>
          <w:szCs w:val="22"/>
        </w:rPr>
        <w:t>.</w:t>
      </w:r>
    </w:p>
    <w:p w14:paraId="22286C75" w14:textId="3019D9DC" w:rsidR="000D31D4" w:rsidRPr="006A4174" w:rsidRDefault="000D31D4" w:rsidP="00F0417D">
      <w:pPr>
        <w:spacing w:after="120"/>
        <w:rPr>
          <w:rFonts w:ascii="Arial" w:hAnsi="Arial" w:cs="Arial"/>
          <w:i/>
          <w:iCs/>
          <w:szCs w:val="22"/>
        </w:rPr>
      </w:pPr>
      <w:r w:rsidRPr="000D31D4">
        <w:rPr>
          <w:rFonts w:asciiTheme="minorBidi" w:hAnsiTheme="minorBidi" w:cstheme="minorBidi"/>
          <w:i/>
          <w:iCs/>
          <w:sz w:val="22"/>
          <w:szCs w:val="22"/>
        </w:rPr>
        <w:t>CRT/2024/</w:t>
      </w:r>
      <w:r w:rsidRPr="00F0417D">
        <w:rPr>
          <w:rFonts w:asciiTheme="minorBidi" w:hAnsiTheme="minorBidi" w:cstheme="minorBidi"/>
          <w:i/>
          <w:iCs/>
          <w:sz w:val="22"/>
          <w:szCs w:val="22"/>
        </w:rPr>
        <w:t xml:space="preserve">10.13 </w:t>
      </w:r>
      <w:r w:rsidR="00B127BF" w:rsidRPr="00F0417D">
        <w:rPr>
          <w:rFonts w:ascii="Arial" w:hAnsi="Arial" w:cs="Arial"/>
          <w:i/>
          <w:sz w:val="22"/>
          <w:szCs w:val="22"/>
        </w:rPr>
        <w:t>Chancellors Fund</w:t>
      </w:r>
    </w:p>
    <w:p w14:paraId="1CDB3FB9" w14:textId="55CE3834" w:rsidR="000D31D4" w:rsidRDefault="00B127BF" w:rsidP="000D31D4">
      <w:pPr>
        <w:spacing w:after="120"/>
        <w:rPr>
          <w:rStyle w:val="cf01"/>
          <w:rFonts w:asciiTheme="minorBidi" w:hAnsiTheme="minorBidi" w:cstheme="minorBidi"/>
          <w:sz w:val="22"/>
          <w:szCs w:val="22"/>
        </w:rPr>
      </w:pPr>
      <w:r>
        <w:rPr>
          <w:rStyle w:val="cf01"/>
          <w:rFonts w:asciiTheme="minorBidi" w:hAnsiTheme="minorBidi" w:cstheme="minorBidi"/>
          <w:sz w:val="22"/>
          <w:szCs w:val="22"/>
        </w:rPr>
        <w:t>Court noted the annual report from the Chancellors Fund.</w:t>
      </w:r>
    </w:p>
    <w:p w14:paraId="3E4635E1" w14:textId="348227EC" w:rsidR="000D31D4" w:rsidRPr="006A4174" w:rsidRDefault="000D31D4" w:rsidP="000D31D4">
      <w:pPr>
        <w:pStyle w:val="SectText2"/>
        <w:ind w:left="540" w:right="-284" w:hanging="540"/>
        <w:rPr>
          <w:rFonts w:ascii="Arial" w:hAnsi="Arial" w:cs="Arial"/>
          <w:i/>
          <w:iCs/>
          <w:szCs w:val="22"/>
        </w:rPr>
      </w:pPr>
      <w:r w:rsidRPr="000D31D4">
        <w:rPr>
          <w:rFonts w:asciiTheme="minorBidi" w:hAnsiTheme="minorBidi" w:cstheme="minorBidi"/>
          <w:i/>
          <w:iCs/>
          <w:szCs w:val="22"/>
        </w:rPr>
        <w:t>CRT/2024/10.</w:t>
      </w:r>
      <w:r>
        <w:rPr>
          <w:rFonts w:asciiTheme="minorBidi" w:hAnsiTheme="minorBidi" w:cstheme="minorBidi"/>
          <w:i/>
          <w:iCs/>
          <w:szCs w:val="22"/>
        </w:rPr>
        <w:t>14</w:t>
      </w:r>
      <w:r w:rsidRPr="000D31D4">
        <w:rPr>
          <w:rFonts w:asciiTheme="minorBidi" w:hAnsiTheme="minorBidi" w:cstheme="minorBidi"/>
          <w:i/>
          <w:iCs/>
          <w:szCs w:val="22"/>
        </w:rPr>
        <w:t xml:space="preserve"> </w:t>
      </w:r>
      <w:r w:rsidR="00B127BF" w:rsidRPr="008665B9">
        <w:rPr>
          <w:rFonts w:ascii="Arial" w:hAnsi="Arial" w:cs="Arial"/>
          <w:i/>
          <w:iCs/>
          <w:szCs w:val="22"/>
        </w:rPr>
        <w:t>Ward Committee</w:t>
      </w:r>
    </w:p>
    <w:p w14:paraId="56455E79" w14:textId="7EB1FCA4" w:rsidR="000D31D4" w:rsidRDefault="00B127BF" w:rsidP="000D31D4">
      <w:pPr>
        <w:spacing w:after="120"/>
        <w:rPr>
          <w:rFonts w:ascii="Arial" w:hAnsi="Arial" w:cs="Arial"/>
          <w:i/>
          <w:iCs/>
          <w:sz w:val="22"/>
          <w:szCs w:val="22"/>
        </w:rPr>
      </w:pPr>
      <w:r w:rsidRPr="009B1EA4">
        <w:rPr>
          <w:rFonts w:asciiTheme="minorBidi" w:hAnsiTheme="minorBidi" w:cstheme="minorBidi"/>
          <w:bCs/>
          <w:sz w:val="22"/>
          <w:szCs w:val="22"/>
        </w:rPr>
        <w:t>Court approved</w:t>
      </w:r>
      <w:r>
        <w:rPr>
          <w:rFonts w:asciiTheme="minorBidi" w:hAnsiTheme="minorBidi" w:cstheme="minorBidi"/>
          <w:bCs/>
          <w:sz w:val="22"/>
          <w:szCs w:val="22"/>
        </w:rPr>
        <w:t xml:space="preserve"> the appointment of Cameron Marshall to the Ward Committee.</w:t>
      </w:r>
    </w:p>
    <w:p w14:paraId="7DBF0AF9" w14:textId="61B1D0F0" w:rsidR="00162E39" w:rsidRPr="00AE1E2E" w:rsidRDefault="00162E39" w:rsidP="00162E39">
      <w:pPr>
        <w:pStyle w:val="SectText2"/>
        <w:ind w:left="540" w:right="-284" w:hanging="540"/>
        <w:rPr>
          <w:rFonts w:ascii="Arial" w:hAnsi="Arial" w:cs="Arial"/>
          <w:i/>
          <w:iCs/>
          <w:szCs w:val="22"/>
        </w:rPr>
      </w:pPr>
      <w:r w:rsidRPr="00AE1E2E">
        <w:rPr>
          <w:rFonts w:asciiTheme="minorBidi" w:hAnsiTheme="minorBidi" w:cstheme="minorBidi"/>
          <w:i/>
          <w:iCs/>
          <w:szCs w:val="22"/>
        </w:rPr>
        <w:t xml:space="preserve">CRT/2024/10.15 </w:t>
      </w:r>
      <w:r w:rsidR="00AE1E2E" w:rsidRPr="00AE1E2E">
        <w:rPr>
          <w:rFonts w:asciiTheme="minorBidi" w:hAnsiTheme="minorBidi" w:cstheme="minorBidi"/>
          <w:bCs/>
          <w:szCs w:val="22"/>
        </w:rPr>
        <w:t>Universitas 21</w:t>
      </w:r>
      <w:r w:rsidR="00AE1E2E">
        <w:rPr>
          <w:rFonts w:asciiTheme="minorBidi" w:hAnsiTheme="minorBidi" w:cstheme="minorBidi"/>
          <w:bCs/>
          <w:szCs w:val="22"/>
        </w:rPr>
        <w:t xml:space="preserve"> (</w:t>
      </w:r>
      <w:r w:rsidRPr="00AE1E2E">
        <w:rPr>
          <w:rFonts w:ascii="Arial" w:hAnsi="Arial" w:cs="Arial"/>
          <w:i/>
          <w:iCs/>
          <w:szCs w:val="22"/>
        </w:rPr>
        <w:t>U21</w:t>
      </w:r>
      <w:r w:rsidR="00AE1E2E">
        <w:rPr>
          <w:rFonts w:ascii="Arial" w:hAnsi="Arial" w:cs="Arial"/>
          <w:i/>
          <w:iCs/>
          <w:szCs w:val="22"/>
        </w:rPr>
        <w:t>)</w:t>
      </w:r>
    </w:p>
    <w:p w14:paraId="7C20F174" w14:textId="16DBE7B4" w:rsidR="00AE1E2E" w:rsidRPr="00AE1E2E" w:rsidRDefault="00AE1E2E" w:rsidP="00AE1E2E">
      <w:pPr>
        <w:spacing w:after="120"/>
        <w:jc w:val="both"/>
        <w:rPr>
          <w:rFonts w:asciiTheme="minorBidi" w:hAnsiTheme="minorBidi" w:cstheme="minorBidi"/>
          <w:bCs/>
          <w:sz w:val="22"/>
          <w:szCs w:val="22"/>
        </w:rPr>
      </w:pPr>
      <w:r>
        <w:rPr>
          <w:rFonts w:asciiTheme="minorBidi" w:hAnsiTheme="minorBidi" w:cstheme="minorBidi"/>
          <w:bCs/>
          <w:sz w:val="22"/>
          <w:szCs w:val="22"/>
        </w:rPr>
        <w:t xml:space="preserve">Court noted that U21 </w:t>
      </w:r>
      <w:r w:rsidRPr="00AE1E2E">
        <w:rPr>
          <w:rFonts w:asciiTheme="minorBidi" w:hAnsiTheme="minorBidi" w:cstheme="minorBidi"/>
          <w:bCs/>
          <w:sz w:val="22"/>
          <w:szCs w:val="22"/>
        </w:rPr>
        <w:t>LBG was established as a non-profit organisation (NPO) in Guernsey in 1997. However, new NPO legislation introduced in Guernsey in 2022, aimed at mitigating money laundering and financial crime risks, ha</w:t>
      </w:r>
      <w:r>
        <w:rPr>
          <w:rFonts w:asciiTheme="minorBidi" w:hAnsiTheme="minorBidi" w:cstheme="minorBidi"/>
          <w:bCs/>
          <w:sz w:val="22"/>
          <w:szCs w:val="22"/>
        </w:rPr>
        <w:t>d</w:t>
      </w:r>
      <w:r w:rsidRPr="00AE1E2E">
        <w:rPr>
          <w:rFonts w:asciiTheme="minorBidi" w:hAnsiTheme="minorBidi" w:cstheme="minorBidi"/>
          <w:bCs/>
          <w:sz w:val="22"/>
          <w:szCs w:val="22"/>
        </w:rPr>
        <w:t xml:space="preserve"> significantly complicated operations for NPOs not physically based on the island. In response to these challenges, the Board of U21 ha</w:t>
      </w:r>
      <w:r>
        <w:rPr>
          <w:rFonts w:asciiTheme="minorBidi" w:hAnsiTheme="minorBidi" w:cstheme="minorBidi"/>
          <w:bCs/>
          <w:sz w:val="22"/>
          <w:szCs w:val="22"/>
        </w:rPr>
        <w:t>d</w:t>
      </w:r>
      <w:r w:rsidRPr="00AE1E2E">
        <w:rPr>
          <w:rFonts w:asciiTheme="minorBidi" w:hAnsiTheme="minorBidi" w:cstheme="minorBidi"/>
          <w:bCs/>
          <w:sz w:val="22"/>
          <w:szCs w:val="22"/>
        </w:rPr>
        <w:t xml:space="preserve"> decided to form a new limited by </w:t>
      </w:r>
      <w:proofErr w:type="gramStart"/>
      <w:r w:rsidRPr="00AE1E2E">
        <w:rPr>
          <w:rFonts w:asciiTheme="minorBidi" w:hAnsiTheme="minorBidi" w:cstheme="minorBidi"/>
          <w:bCs/>
          <w:sz w:val="22"/>
          <w:szCs w:val="22"/>
        </w:rPr>
        <w:t>guarantee</w:t>
      </w:r>
      <w:proofErr w:type="gramEnd"/>
      <w:r w:rsidRPr="00AE1E2E">
        <w:rPr>
          <w:rFonts w:asciiTheme="minorBidi" w:hAnsiTheme="minorBidi" w:cstheme="minorBidi"/>
          <w:bCs/>
          <w:sz w:val="22"/>
          <w:szCs w:val="22"/>
        </w:rPr>
        <w:t xml:space="preserve"> company in the UK and pursue charitable status by registering with the UK Charity Commission and the University ha</w:t>
      </w:r>
      <w:r>
        <w:rPr>
          <w:rFonts w:asciiTheme="minorBidi" w:hAnsiTheme="minorBidi" w:cstheme="minorBidi"/>
          <w:bCs/>
          <w:sz w:val="22"/>
          <w:szCs w:val="22"/>
        </w:rPr>
        <w:t>d</w:t>
      </w:r>
      <w:r w:rsidRPr="00AE1E2E">
        <w:rPr>
          <w:rFonts w:asciiTheme="minorBidi" w:hAnsiTheme="minorBidi" w:cstheme="minorBidi"/>
          <w:bCs/>
          <w:sz w:val="22"/>
          <w:szCs w:val="22"/>
        </w:rPr>
        <w:t xml:space="preserve"> been asked to be part of this company as one of the members of U21. </w:t>
      </w:r>
    </w:p>
    <w:p w14:paraId="0CEA18A1" w14:textId="30F7A709" w:rsidR="002C0502" w:rsidRPr="00807D4A" w:rsidRDefault="00162E39" w:rsidP="00162E39">
      <w:pPr>
        <w:jc w:val="both"/>
        <w:rPr>
          <w:rFonts w:asciiTheme="minorBidi" w:hAnsiTheme="minorBidi" w:cstheme="minorBidi"/>
          <w:sz w:val="22"/>
          <w:szCs w:val="22"/>
        </w:rPr>
      </w:pPr>
      <w:r w:rsidRPr="00AE1E2E">
        <w:rPr>
          <w:rFonts w:asciiTheme="minorBidi" w:hAnsiTheme="minorBidi" w:cstheme="minorBidi"/>
          <w:bCs/>
          <w:sz w:val="22"/>
          <w:szCs w:val="22"/>
        </w:rPr>
        <w:t xml:space="preserve">Court approved </w:t>
      </w:r>
      <w:r w:rsidR="00AE1E2E">
        <w:rPr>
          <w:rFonts w:asciiTheme="minorBidi" w:hAnsiTheme="minorBidi" w:cstheme="minorBidi"/>
          <w:bCs/>
          <w:sz w:val="22"/>
          <w:szCs w:val="22"/>
        </w:rPr>
        <w:t xml:space="preserve">the University being part of the formation of U21 as a limited </w:t>
      </w:r>
      <w:proofErr w:type="gramStart"/>
      <w:r w:rsidR="00AE1E2E">
        <w:rPr>
          <w:rFonts w:asciiTheme="minorBidi" w:hAnsiTheme="minorBidi" w:cstheme="minorBidi"/>
          <w:bCs/>
          <w:sz w:val="22"/>
          <w:szCs w:val="22"/>
        </w:rPr>
        <w:t>guarantee</w:t>
      </w:r>
      <w:proofErr w:type="gramEnd"/>
      <w:r w:rsidR="00AE1E2E">
        <w:rPr>
          <w:rFonts w:asciiTheme="minorBidi" w:hAnsiTheme="minorBidi" w:cstheme="minorBidi"/>
          <w:bCs/>
          <w:sz w:val="22"/>
          <w:szCs w:val="22"/>
        </w:rPr>
        <w:t xml:space="preserve"> company. </w:t>
      </w:r>
    </w:p>
    <w:p w14:paraId="0BBF9D33" w14:textId="028BAC0B" w:rsidR="002C0502" w:rsidRPr="009C7395" w:rsidRDefault="002C0502" w:rsidP="002C0502">
      <w:pPr>
        <w:tabs>
          <w:tab w:val="left" w:pos="0"/>
        </w:tabs>
        <w:autoSpaceDE/>
        <w:autoSpaceDN/>
        <w:spacing w:before="120" w:after="240"/>
        <w:jc w:val="both"/>
        <w:rPr>
          <w:rFonts w:ascii="Arial" w:eastAsiaTheme="minorEastAsia" w:hAnsi="Arial" w:cs="Arial"/>
          <w:b/>
          <w:bCs/>
          <w:sz w:val="22"/>
          <w:szCs w:val="22"/>
        </w:rPr>
      </w:pPr>
      <w:r w:rsidRPr="009C7395">
        <w:rPr>
          <w:rFonts w:ascii="Arial" w:eastAsiaTheme="minorEastAsia" w:hAnsi="Arial" w:cs="Arial"/>
          <w:b/>
          <w:bCs/>
          <w:sz w:val="22"/>
          <w:szCs w:val="22"/>
        </w:rPr>
        <w:t>CRT/202</w:t>
      </w:r>
      <w:r w:rsidR="00720B6B">
        <w:rPr>
          <w:rFonts w:ascii="Arial" w:eastAsiaTheme="minorEastAsia" w:hAnsi="Arial" w:cs="Arial"/>
          <w:b/>
          <w:bCs/>
          <w:sz w:val="22"/>
          <w:szCs w:val="22"/>
        </w:rPr>
        <w:t>4</w:t>
      </w:r>
      <w:r w:rsidRPr="009C7395">
        <w:rPr>
          <w:rFonts w:ascii="Arial" w:eastAsiaTheme="minorEastAsia" w:hAnsi="Arial" w:cs="Arial"/>
          <w:b/>
          <w:bCs/>
          <w:sz w:val="22"/>
          <w:szCs w:val="22"/>
        </w:rPr>
        <w:t>/</w:t>
      </w:r>
      <w:r w:rsidR="00720B6B">
        <w:rPr>
          <w:rFonts w:ascii="Arial" w:eastAsiaTheme="minorEastAsia" w:hAnsi="Arial" w:cs="Arial"/>
          <w:b/>
          <w:bCs/>
          <w:sz w:val="22"/>
          <w:szCs w:val="22"/>
        </w:rPr>
        <w:t>11</w:t>
      </w:r>
      <w:r w:rsidRPr="009C7395">
        <w:rPr>
          <w:rFonts w:ascii="Arial" w:eastAsiaTheme="minorEastAsia" w:hAnsi="Arial" w:cs="Arial"/>
          <w:b/>
          <w:bCs/>
          <w:sz w:val="22"/>
          <w:szCs w:val="22"/>
        </w:rPr>
        <w:t xml:space="preserve">. </w:t>
      </w:r>
      <w:r w:rsidRPr="009C7395">
        <w:rPr>
          <w:rFonts w:ascii="Arial" w:hAnsi="Arial" w:cs="Arial"/>
          <w:b/>
          <w:bCs/>
          <w:sz w:val="22"/>
          <w:szCs w:val="22"/>
        </w:rPr>
        <w:t xml:space="preserve">Student Matters, </w:t>
      </w:r>
      <w:proofErr w:type="gramStart"/>
      <w:r w:rsidRPr="009C7395">
        <w:rPr>
          <w:rFonts w:ascii="Arial" w:hAnsi="Arial" w:cs="Arial"/>
          <w:b/>
          <w:bCs/>
          <w:sz w:val="22"/>
          <w:szCs w:val="22"/>
        </w:rPr>
        <w:t>including:</w:t>
      </w:r>
      <w:proofErr w:type="gramEnd"/>
      <w:r w:rsidRPr="009C7395">
        <w:rPr>
          <w:rFonts w:ascii="Arial" w:hAnsi="Arial" w:cs="Arial"/>
          <w:b/>
          <w:bCs/>
          <w:sz w:val="22"/>
          <w:szCs w:val="22"/>
        </w:rPr>
        <w:t xml:space="preserve"> SEC Report; SRC President update</w:t>
      </w:r>
    </w:p>
    <w:p w14:paraId="50FE76A8" w14:textId="18C1D20C" w:rsidR="002C0502" w:rsidRPr="003D3CC0" w:rsidRDefault="002C0502" w:rsidP="002C0502">
      <w:pPr>
        <w:tabs>
          <w:tab w:val="left" w:pos="0"/>
        </w:tabs>
        <w:spacing w:before="120" w:after="240"/>
        <w:contextualSpacing/>
        <w:jc w:val="both"/>
        <w:rPr>
          <w:rFonts w:asciiTheme="minorBidi" w:hAnsiTheme="minorBidi"/>
          <w:i/>
          <w:iCs/>
          <w:sz w:val="22"/>
          <w:szCs w:val="22"/>
        </w:rPr>
      </w:pPr>
      <w:r w:rsidRPr="00067547">
        <w:rPr>
          <w:rFonts w:ascii="Arial" w:hAnsi="Arial" w:cs="Arial"/>
          <w:bCs/>
          <w:i/>
          <w:sz w:val="22"/>
          <w:szCs w:val="22"/>
        </w:rPr>
        <w:t>CRT/202</w:t>
      </w:r>
      <w:r w:rsidR="00720B6B">
        <w:rPr>
          <w:rFonts w:ascii="Arial" w:hAnsi="Arial" w:cs="Arial"/>
          <w:bCs/>
          <w:i/>
          <w:sz w:val="22"/>
          <w:szCs w:val="22"/>
        </w:rPr>
        <w:t>4</w:t>
      </w:r>
      <w:r w:rsidRPr="00067547">
        <w:rPr>
          <w:rFonts w:ascii="Arial" w:hAnsi="Arial" w:cs="Arial"/>
          <w:bCs/>
          <w:i/>
          <w:sz w:val="22"/>
          <w:szCs w:val="22"/>
        </w:rPr>
        <w:t>/</w:t>
      </w:r>
      <w:r w:rsidR="00720B6B">
        <w:rPr>
          <w:rFonts w:ascii="Arial" w:hAnsi="Arial" w:cs="Arial"/>
          <w:bCs/>
          <w:i/>
          <w:sz w:val="22"/>
          <w:szCs w:val="22"/>
        </w:rPr>
        <w:t>11</w:t>
      </w:r>
      <w:r w:rsidRPr="00067547">
        <w:rPr>
          <w:rFonts w:ascii="Arial" w:hAnsi="Arial" w:cs="Arial"/>
          <w:bCs/>
          <w:i/>
          <w:sz w:val="22"/>
          <w:szCs w:val="22"/>
        </w:rPr>
        <w:t xml:space="preserve">.1 </w:t>
      </w:r>
      <w:r w:rsidRPr="003D3CC0">
        <w:rPr>
          <w:rFonts w:ascii="Arial" w:hAnsi="Arial" w:cs="Arial"/>
          <w:i/>
          <w:iCs/>
          <w:sz w:val="22"/>
          <w:szCs w:val="22"/>
        </w:rPr>
        <w:t>Rector update</w:t>
      </w:r>
    </w:p>
    <w:p w14:paraId="4D1AEFA9" w14:textId="47944800" w:rsidR="002C0502" w:rsidRPr="00264694" w:rsidRDefault="002C0502" w:rsidP="002C0502">
      <w:pPr>
        <w:tabs>
          <w:tab w:val="left" w:pos="0"/>
        </w:tabs>
        <w:autoSpaceDE/>
        <w:autoSpaceDN/>
        <w:spacing w:before="120" w:after="240"/>
        <w:jc w:val="both"/>
        <w:rPr>
          <w:rFonts w:asciiTheme="minorBidi" w:hAnsiTheme="minorBidi" w:cstheme="minorBidi"/>
          <w:sz w:val="22"/>
          <w:szCs w:val="22"/>
        </w:rPr>
      </w:pPr>
      <w:r w:rsidRPr="00264694">
        <w:rPr>
          <w:rFonts w:asciiTheme="minorBidi" w:hAnsiTheme="minorBidi" w:cstheme="minorBidi"/>
          <w:sz w:val="22"/>
          <w:szCs w:val="22"/>
        </w:rPr>
        <w:t xml:space="preserve">Court noted the Rector’s </w:t>
      </w:r>
      <w:proofErr w:type="gramStart"/>
      <w:r w:rsidRPr="00264694">
        <w:rPr>
          <w:rFonts w:asciiTheme="minorBidi" w:hAnsiTheme="minorBidi" w:cstheme="minorBidi"/>
          <w:sz w:val="22"/>
          <w:szCs w:val="22"/>
        </w:rPr>
        <w:t>apologies</w:t>
      </w:r>
      <w:proofErr w:type="gramEnd"/>
      <w:r w:rsidR="00720B6B" w:rsidRPr="00264694">
        <w:rPr>
          <w:rFonts w:asciiTheme="minorBidi" w:hAnsiTheme="minorBidi" w:cstheme="minorBidi"/>
          <w:sz w:val="22"/>
          <w:szCs w:val="22"/>
        </w:rPr>
        <w:t xml:space="preserve"> and no substantive matters were raised.</w:t>
      </w:r>
    </w:p>
    <w:p w14:paraId="1D68FE10" w14:textId="4BCDD090" w:rsidR="002C0502" w:rsidRPr="00264694" w:rsidRDefault="002C0502" w:rsidP="002C0502">
      <w:pPr>
        <w:tabs>
          <w:tab w:val="left" w:pos="0"/>
        </w:tabs>
        <w:spacing w:before="120" w:after="240"/>
        <w:contextualSpacing/>
        <w:jc w:val="both"/>
        <w:rPr>
          <w:rFonts w:asciiTheme="minorBidi" w:hAnsiTheme="minorBidi"/>
          <w:i/>
          <w:iCs/>
          <w:sz w:val="22"/>
          <w:szCs w:val="22"/>
        </w:rPr>
      </w:pPr>
      <w:r w:rsidRPr="00264694">
        <w:rPr>
          <w:rFonts w:ascii="Arial" w:hAnsi="Arial" w:cs="Arial"/>
          <w:bCs/>
          <w:i/>
          <w:sz w:val="22"/>
          <w:szCs w:val="22"/>
        </w:rPr>
        <w:t>CRT/202</w:t>
      </w:r>
      <w:r w:rsidR="00720B6B" w:rsidRPr="00264694">
        <w:rPr>
          <w:rFonts w:ascii="Arial" w:hAnsi="Arial" w:cs="Arial"/>
          <w:bCs/>
          <w:i/>
          <w:sz w:val="22"/>
          <w:szCs w:val="22"/>
        </w:rPr>
        <w:t>4</w:t>
      </w:r>
      <w:r w:rsidRPr="00264694">
        <w:rPr>
          <w:rFonts w:ascii="Arial" w:hAnsi="Arial" w:cs="Arial"/>
          <w:bCs/>
          <w:i/>
          <w:sz w:val="22"/>
          <w:szCs w:val="22"/>
        </w:rPr>
        <w:t>/</w:t>
      </w:r>
      <w:r w:rsidR="00720B6B" w:rsidRPr="00264694">
        <w:rPr>
          <w:rFonts w:ascii="Arial" w:hAnsi="Arial" w:cs="Arial"/>
          <w:bCs/>
          <w:i/>
          <w:sz w:val="22"/>
          <w:szCs w:val="22"/>
        </w:rPr>
        <w:t>11</w:t>
      </w:r>
      <w:r w:rsidRPr="00264694">
        <w:rPr>
          <w:rFonts w:ascii="Arial" w:hAnsi="Arial" w:cs="Arial"/>
          <w:bCs/>
          <w:i/>
          <w:sz w:val="22"/>
          <w:szCs w:val="22"/>
        </w:rPr>
        <w:t>.</w:t>
      </w:r>
      <w:r w:rsidR="00994528" w:rsidRPr="00264694">
        <w:rPr>
          <w:rFonts w:ascii="Arial" w:hAnsi="Arial" w:cs="Arial"/>
          <w:bCs/>
          <w:i/>
          <w:sz w:val="22"/>
          <w:szCs w:val="22"/>
        </w:rPr>
        <w:t>2</w:t>
      </w:r>
      <w:r w:rsidRPr="00264694">
        <w:rPr>
          <w:rFonts w:ascii="Arial" w:hAnsi="Arial" w:cs="Arial"/>
          <w:bCs/>
          <w:i/>
          <w:sz w:val="22"/>
          <w:szCs w:val="22"/>
        </w:rPr>
        <w:t xml:space="preserve"> </w:t>
      </w:r>
      <w:r w:rsidRPr="00264694">
        <w:rPr>
          <w:rFonts w:ascii="Arial" w:hAnsi="Arial" w:cs="Arial"/>
          <w:i/>
          <w:iCs/>
          <w:sz w:val="22"/>
          <w:szCs w:val="22"/>
        </w:rPr>
        <w:t>SRC update</w:t>
      </w:r>
    </w:p>
    <w:p w14:paraId="5FE77338" w14:textId="4296453C" w:rsidR="002C0502" w:rsidRPr="00264694" w:rsidRDefault="002C0502" w:rsidP="002C0502">
      <w:pPr>
        <w:tabs>
          <w:tab w:val="left" w:pos="0"/>
        </w:tabs>
        <w:autoSpaceDE/>
        <w:autoSpaceDN/>
        <w:spacing w:before="120" w:after="240"/>
        <w:jc w:val="both"/>
        <w:rPr>
          <w:rFonts w:asciiTheme="minorBidi" w:hAnsiTheme="minorBidi" w:cstheme="minorBidi"/>
          <w:sz w:val="22"/>
          <w:szCs w:val="22"/>
        </w:rPr>
      </w:pPr>
      <w:r w:rsidRPr="00264694">
        <w:rPr>
          <w:rFonts w:asciiTheme="minorBidi" w:hAnsiTheme="minorBidi" w:cstheme="minorBidi"/>
          <w:sz w:val="22"/>
          <w:szCs w:val="22"/>
        </w:rPr>
        <w:t xml:space="preserve">The SRC President reported that there had been an excellent start to the year, with upwards of 15,000 attendees at the welcome fair during Freshers week. </w:t>
      </w:r>
      <w:r w:rsidR="005467A9">
        <w:rPr>
          <w:rFonts w:asciiTheme="minorBidi" w:hAnsiTheme="minorBidi" w:cstheme="minorBidi"/>
          <w:sz w:val="22"/>
          <w:szCs w:val="22"/>
        </w:rPr>
        <w:t xml:space="preserve">There had also been a large </w:t>
      </w:r>
      <w:r w:rsidR="005467A9">
        <w:rPr>
          <w:rFonts w:asciiTheme="minorBidi" w:hAnsiTheme="minorBidi" w:cstheme="minorBidi"/>
          <w:sz w:val="22"/>
          <w:szCs w:val="22"/>
        </w:rPr>
        <w:lastRenderedPageBreak/>
        <w:t xml:space="preserve">amount of engagement with all the clubs and societies. It was also noted that the SRC elections for Committee members were taking place on 17 October 2024 after which the new SRC Assessor on Court would be elected. The SRC President stated that the SRC encourages all students to get involved as it was a key way in shaping the student experience and ensuring that the student voice was present at all levels of the University. </w:t>
      </w:r>
    </w:p>
    <w:p w14:paraId="4D3C0927" w14:textId="4ACAC630" w:rsidR="002C0502" w:rsidRPr="00264694" w:rsidRDefault="002C0502" w:rsidP="002C0502">
      <w:pPr>
        <w:tabs>
          <w:tab w:val="left" w:pos="0"/>
        </w:tabs>
        <w:spacing w:before="120" w:after="240"/>
        <w:contextualSpacing/>
        <w:jc w:val="both"/>
        <w:rPr>
          <w:rFonts w:asciiTheme="minorBidi" w:hAnsiTheme="minorBidi"/>
          <w:i/>
          <w:iCs/>
          <w:sz w:val="22"/>
          <w:szCs w:val="22"/>
        </w:rPr>
      </w:pPr>
      <w:r w:rsidRPr="00264694">
        <w:rPr>
          <w:rFonts w:ascii="Arial" w:hAnsi="Arial" w:cs="Arial"/>
          <w:bCs/>
          <w:i/>
          <w:sz w:val="22"/>
          <w:szCs w:val="22"/>
        </w:rPr>
        <w:t>CRT/202</w:t>
      </w:r>
      <w:r w:rsidR="00994528" w:rsidRPr="00264694">
        <w:rPr>
          <w:rFonts w:ascii="Arial" w:hAnsi="Arial" w:cs="Arial"/>
          <w:bCs/>
          <w:i/>
          <w:sz w:val="22"/>
          <w:szCs w:val="22"/>
        </w:rPr>
        <w:t>4</w:t>
      </w:r>
      <w:r w:rsidRPr="00264694">
        <w:rPr>
          <w:rFonts w:ascii="Arial" w:hAnsi="Arial" w:cs="Arial"/>
          <w:bCs/>
          <w:i/>
          <w:sz w:val="22"/>
          <w:szCs w:val="22"/>
        </w:rPr>
        <w:t>/</w:t>
      </w:r>
      <w:r w:rsidR="00994528" w:rsidRPr="00264694">
        <w:rPr>
          <w:rFonts w:ascii="Arial" w:hAnsi="Arial" w:cs="Arial"/>
          <w:bCs/>
          <w:i/>
          <w:sz w:val="22"/>
          <w:szCs w:val="22"/>
        </w:rPr>
        <w:t>11</w:t>
      </w:r>
      <w:r w:rsidRPr="00264694">
        <w:rPr>
          <w:rFonts w:ascii="Arial" w:hAnsi="Arial" w:cs="Arial"/>
          <w:bCs/>
          <w:i/>
          <w:sz w:val="22"/>
          <w:szCs w:val="22"/>
        </w:rPr>
        <w:t>.</w:t>
      </w:r>
      <w:r w:rsidR="00994528" w:rsidRPr="00264694">
        <w:rPr>
          <w:rFonts w:ascii="Arial" w:hAnsi="Arial" w:cs="Arial"/>
          <w:bCs/>
          <w:i/>
          <w:sz w:val="22"/>
          <w:szCs w:val="22"/>
        </w:rPr>
        <w:t>3</w:t>
      </w:r>
      <w:r w:rsidRPr="00264694">
        <w:rPr>
          <w:rFonts w:ascii="Arial" w:hAnsi="Arial" w:cs="Arial"/>
          <w:bCs/>
          <w:i/>
          <w:sz w:val="22"/>
          <w:szCs w:val="22"/>
        </w:rPr>
        <w:t xml:space="preserve"> </w:t>
      </w:r>
      <w:r w:rsidRPr="00264694">
        <w:rPr>
          <w:rFonts w:ascii="Arial" w:hAnsi="Arial" w:cs="Arial"/>
          <w:i/>
          <w:iCs/>
          <w:sz w:val="22"/>
          <w:szCs w:val="22"/>
        </w:rPr>
        <w:t>Student Experience Committee</w:t>
      </w:r>
    </w:p>
    <w:p w14:paraId="133806E5" w14:textId="53E7CEFE" w:rsidR="002C0502" w:rsidRPr="00264694" w:rsidRDefault="002C0502" w:rsidP="002C0502">
      <w:pPr>
        <w:tabs>
          <w:tab w:val="left" w:pos="0"/>
        </w:tabs>
        <w:autoSpaceDE/>
        <w:autoSpaceDN/>
        <w:spacing w:before="120" w:after="240"/>
        <w:jc w:val="both"/>
        <w:rPr>
          <w:rFonts w:asciiTheme="minorBidi" w:hAnsiTheme="minorBidi" w:cstheme="minorBidi"/>
          <w:sz w:val="22"/>
          <w:szCs w:val="22"/>
        </w:rPr>
      </w:pPr>
      <w:r w:rsidRPr="00264694">
        <w:rPr>
          <w:rFonts w:asciiTheme="minorBidi" w:hAnsiTheme="minorBidi" w:cstheme="minorBidi"/>
          <w:sz w:val="22"/>
          <w:szCs w:val="22"/>
        </w:rPr>
        <w:t>Court not</w:t>
      </w:r>
      <w:r w:rsidR="00994528" w:rsidRPr="00264694">
        <w:rPr>
          <w:rFonts w:asciiTheme="minorBidi" w:hAnsiTheme="minorBidi" w:cstheme="minorBidi"/>
          <w:sz w:val="22"/>
          <w:szCs w:val="22"/>
        </w:rPr>
        <w:t>e</w:t>
      </w:r>
      <w:r w:rsidRPr="00264694">
        <w:rPr>
          <w:rFonts w:asciiTheme="minorBidi" w:hAnsiTheme="minorBidi" w:cstheme="minorBidi"/>
          <w:sz w:val="22"/>
          <w:szCs w:val="22"/>
        </w:rPr>
        <w:t xml:space="preserve">d that the Student Experience Committee </w:t>
      </w:r>
      <w:r w:rsidR="005467A9">
        <w:rPr>
          <w:rFonts w:asciiTheme="minorBidi" w:hAnsiTheme="minorBidi" w:cstheme="minorBidi"/>
          <w:sz w:val="22"/>
          <w:szCs w:val="22"/>
        </w:rPr>
        <w:t xml:space="preserve">was due to meet </w:t>
      </w:r>
      <w:proofErr w:type="gramStart"/>
      <w:r w:rsidR="005467A9">
        <w:rPr>
          <w:rFonts w:asciiTheme="minorBidi" w:hAnsiTheme="minorBidi" w:cstheme="minorBidi"/>
          <w:sz w:val="22"/>
          <w:szCs w:val="22"/>
        </w:rPr>
        <w:t>shortly</w:t>
      </w:r>
      <w:proofErr w:type="gramEnd"/>
      <w:r w:rsidR="005467A9">
        <w:rPr>
          <w:rFonts w:asciiTheme="minorBidi" w:hAnsiTheme="minorBidi" w:cstheme="minorBidi"/>
          <w:sz w:val="22"/>
          <w:szCs w:val="22"/>
        </w:rPr>
        <w:t xml:space="preserve"> and a report would be provided at the next Court meeting</w:t>
      </w:r>
      <w:r w:rsidR="004E7667">
        <w:rPr>
          <w:rFonts w:asciiTheme="minorBidi" w:hAnsiTheme="minorBidi" w:cstheme="minorBidi"/>
          <w:sz w:val="22"/>
          <w:szCs w:val="22"/>
        </w:rPr>
        <w:t xml:space="preserve"> and</w:t>
      </w:r>
      <w:r w:rsidR="005467A9">
        <w:rPr>
          <w:rFonts w:asciiTheme="minorBidi" w:hAnsiTheme="minorBidi" w:cstheme="minorBidi"/>
          <w:sz w:val="22"/>
          <w:szCs w:val="22"/>
        </w:rPr>
        <w:t xml:space="preserve"> </w:t>
      </w:r>
      <w:r w:rsidR="004E7667">
        <w:rPr>
          <w:rFonts w:asciiTheme="minorBidi" w:hAnsiTheme="minorBidi" w:cstheme="minorBidi"/>
          <w:sz w:val="22"/>
          <w:szCs w:val="22"/>
        </w:rPr>
        <w:t>i</w:t>
      </w:r>
      <w:r w:rsidR="005467A9">
        <w:rPr>
          <w:rFonts w:asciiTheme="minorBidi" w:hAnsiTheme="minorBidi" w:cstheme="minorBidi"/>
          <w:sz w:val="22"/>
          <w:szCs w:val="22"/>
        </w:rPr>
        <w:t>t was</w:t>
      </w:r>
      <w:r w:rsidR="004E7667">
        <w:rPr>
          <w:rFonts w:asciiTheme="minorBidi" w:hAnsiTheme="minorBidi" w:cstheme="minorBidi"/>
          <w:sz w:val="22"/>
          <w:szCs w:val="22"/>
        </w:rPr>
        <w:t xml:space="preserve"> also</w:t>
      </w:r>
      <w:r w:rsidR="005467A9">
        <w:rPr>
          <w:rFonts w:asciiTheme="minorBidi" w:hAnsiTheme="minorBidi" w:cstheme="minorBidi"/>
          <w:sz w:val="22"/>
          <w:szCs w:val="22"/>
        </w:rPr>
        <w:t xml:space="preserve"> noted that student residences were at 98% capacity</w:t>
      </w:r>
      <w:r w:rsidR="004E7667">
        <w:rPr>
          <w:rFonts w:asciiTheme="minorBidi" w:hAnsiTheme="minorBidi" w:cstheme="minorBidi"/>
          <w:sz w:val="22"/>
          <w:szCs w:val="22"/>
        </w:rPr>
        <w:t>.</w:t>
      </w:r>
    </w:p>
    <w:p w14:paraId="676D3DFB" w14:textId="3213E246" w:rsidR="002C0502" w:rsidRPr="006A4174" w:rsidRDefault="002C0502" w:rsidP="002C0502">
      <w:pPr>
        <w:tabs>
          <w:tab w:val="left" w:pos="0"/>
        </w:tabs>
        <w:autoSpaceDE/>
        <w:autoSpaceDN/>
        <w:spacing w:after="120"/>
        <w:jc w:val="both"/>
        <w:rPr>
          <w:rFonts w:ascii="Arial" w:hAnsi="Arial" w:cs="Arial"/>
          <w:sz w:val="22"/>
          <w:szCs w:val="22"/>
        </w:rPr>
      </w:pPr>
      <w:r w:rsidRPr="00264694">
        <w:rPr>
          <w:rFonts w:ascii="Arial" w:hAnsi="Arial" w:cs="Arial"/>
          <w:sz w:val="22"/>
          <w:szCs w:val="22"/>
          <w:lang w:val="en-US"/>
        </w:rPr>
        <w:t xml:space="preserve">The </w:t>
      </w:r>
      <w:r w:rsidRPr="00264694">
        <w:rPr>
          <w:rFonts w:ascii="Arial" w:hAnsi="Arial" w:cs="Arial"/>
          <w:sz w:val="22"/>
          <w:szCs w:val="22"/>
        </w:rPr>
        <w:t xml:space="preserve">Convener </w:t>
      </w:r>
      <w:r w:rsidRPr="00264694">
        <w:rPr>
          <w:rFonts w:ascii="Arial" w:hAnsi="Arial" w:cs="Arial"/>
          <w:sz w:val="22"/>
          <w:szCs w:val="22"/>
          <w:lang w:val="en-US"/>
        </w:rPr>
        <w:t>thanked the SRC President for h</w:t>
      </w:r>
      <w:r w:rsidR="00720B6B" w:rsidRPr="00264694">
        <w:rPr>
          <w:rFonts w:ascii="Arial" w:hAnsi="Arial" w:cs="Arial"/>
          <w:sz w:val="22"/>
          <w:szCs w:val="22"/>
          <w:lang w:val="en-US"/>
        </w:rPr>
        <w:t xml:space="preserve">is </w:t>
      </w:r>
      <w:r w:rsidRPr="00264694">
        <w:rPr>
          <w:rFonts w:ascii="Arial" w:hAnsi="Arial" w:cs="Arial"/>
          <w:sz w:val="22"/>
          <w:szCs w:val="22"/>
          <w:lang w:val="en-US"/>
        </w:rPr>
        <w:t>repor</w:t>
      </w:r>
      <w:r w:rsidRPr="00FD7D92">
        <w:rPr>
          <w:rFonts w:ascii="Arial" w:hAnsi="Arial" w:cs="Arial"/>
          <w:sz w:val="22"/>
          <w:szCs w:val="22"/>
          <w:lang w:val="en-US"/>
        </w:rPr>
        <w:t>t</w:t>
      </w:r>
      <w:r>
        <w:rPr>
          <w:rFonts w:ascii="Arial" w:hAnsi="Arial" w:cs="Arial"/>
          <w:sz w:val="22"/>
          <w:szCs w:val="22"/>
          <w:lang w:val="en-US"/>
        </w:rPr>
        <w:t>.</w:t>
      </w:r>
    </w:p>
    <w:p w14:paraId="64EFA843" w14:textId="68E58943" w:rsidR="002C0502" w:rsidRPr="006363F6" w:rsidRDefault="002C0502" w:rsidP="002C0502">
      <w:pPr>
        <w:spacing w:before="240" w:after="120"/>
        <w:ind w:right="-79"/>
        <w:jc w:val="both"/>
        <w:rPr>
          <w:rFonts w:ascii="Arial" w:eastAsiaTheme="minorEastAsia" w:hAnsi="Arial" w:cs="Arial"/>
          <w:b/>
          <w:bCs/>
          <w:sz w:val="22"/>
          <w:szCs w:val="22"/>
        </w:rPr>
      </w:pPr>
      <w:r w:rsidRPr="00264694">
        <w:rPr>
          <w:rFonts w:ascii="Arial" w:eastAsiaTheme="minorEastAsia" w:hAnsi="Arial" w:cs="Arial"/>
          <w:b/>
          <w:bCs/>
          <w:sz w:val="22"/>
          <w:szCs w:val="22"/>
        </w:rPr>
        <w:t>CRT/202</w:t>
      </w:r>
      <w:r w:rsidR="00F27597" w:rsidRPr="00264694">
        <w:rPr>
          <w:rFonts w:ascii="Arial" w:eastAsiaTheme="minorEastAsia" w:hAnsi="Arial" w:cs="Arial"/>
          <w:b/>
          <w:bCs/>
          <w:sz w:val="22"/>
          <w:szCs w:val="22"/>
        </w:rPr>
        <w:t>4</w:t>
      </w:r>
      <w:r w:rsidRPr="00264694">
        <w:rPr>
          <w:rFonts w:ascii="Arial" w:eastAsiaTheme="minorEastAsia" w:hAnsi="Arial" w:cs="Arial"/>
          <w:b/>
          <w:bCs/>
          <w:sz w:val="22"/>
          <w:szCs w:val="22"/>
        </w:rPr>
        <w:t>/</w:t>
      </w:r>
      <w:r w:rsidR="00F27597" w:rsidRPr="00264694">
        <w:rPr>
          <w:rFonts w:ascii="Arial" w:eastAsiaTheme="minorEastAsia" w:hAnsi="Arial" w:cs="Arial"/>
          <w:b/>
          <w:bCs/>
          <w:sz w:val="22"/>
          <w:szCs w:val="22"/>
        </w:rPr>
        <w:t>12</w:t>
      </w:r>
      <w:r w:rsidRPr="00264694">
        <w:rPr>
          <w:rFonts w:ascii="Arial" w:eastAsiaTheme="minorEastAsia" w:hAnsi="Arial" w:cs="Arial"/>
          <w:b/>
          <w:bCs/>
          <w:sz w:val="22"/>
          <w:szCs w:val="22"/>
        </w:rPr>
        <w:t>. Reports o</w:t>
      </w:r>
      <w:r w:rsidRPr="006363F6">
        <w:rPr>
          <w:rFonts w:ascii="Arial" w:eastAsiaTheme="minorEastAsia" w:hAnsi="Arial" w:cs="Arial"/>
          <w:b/>
          <w:bCs/>
          <w:sz w:val="22"/>
          <w:szCs w:val="22"/>
        </w:rPr>
        <w:t>f Court Committees</w:t>
      </w:r>
    </w:p>
    <w:p w14:paraId="591709A0" w14:textId="0271FF0E" w:rsidR="002C0502" w:rsidRPr="00067547" w:rsidRDefault="002C0502" w:rsidP="002C0502">
      <w:pPr>
        <w:tabs>
          <w:tab w:val="left" w:pos="0"/>
        </w:tabs>
        <w:autoSpaceDE/>
        <w:autoSpaceDN/>
        <w:spacing w:after="240"/>
        <w:jc w:val="both"/>
        <w:rPr>
          <w:rFonts w:ascii="Arial" w:hAnsi="Arial" w:cs="Arial"/>
          <w:bCs/>
          <w:i/>
          <w:sz w:val="22"/>
          <w:szCs w:val="22"/>
        </w:rPr>
      </w:pPr>
      <w:r w:rsidRPr="006363F6">
        <w:rPr>
          <w:rFonts w:ascii="Arial" w:hAnsi="Arial" w:cs="Arial"/>
          <w:bCs/>
          <w:i/>
          <w:sz w:val="22"/>
          <w:szCs w:val="22"/>
        </w:rPr>
        <w:t>CRT/202</w:t>
      </w:r>
      <w:r w:rsidR="00994528">
        <w:rPr>
          <w:rFonts w:ascii="Arial" w:hAnsi="Arial" w:cs="Arial"/>
          <w:bCs/>
          <w:i/>
          <w:sz w:val="22"/>
          <w:szCs w:val="22"/>
        </w:rPr>
        <w:t>4</w:t>
      </w:r>
      <w:r w:rsidRPr="006363F6">
        <w:rPr>
          <w:rFonts w:ascii="Arial" w:hAnsi="Arial" w:cs="Arial"/>
          <w:bCs/>
          <w:i/>
          <w:sz w:val="22"/>
          <w:szCs w:val="22"/>
        </w:rPr>
        <w:t>/</w:t>
      </w:r>
      <w:r w:rsidR="00994528">
        <w:rPr>
          <w:rFonts w:ascii="Arial" w:hAnsi="Arial" w:cs="Arial"/>
          <w:bCs/>
          <w:i/>
          <w:sz w:val="22"/>
          <w:szCs w:val="22"/>
        </w:rPr>
        <w:t>12</w:t>
      </w:r>
      <w:r w:rsidRPr="006363F6">
        <w:rPr>
          <w:rFonts w:ascii="Arial" w:hAnsi="Arial" w:cs="Arial"/>
          <w:bCs/>
          <w:i/>
          <w:sz w:val="22"/>
          <w:szCs w:val="22"/>
        </w:rPr>
        <w:t>.1. Finance Committee</w:t>
      </w:r>
    </w:p>
    <w:p w14:paraId="1B9C8206" w14:textId="11000628" w:rsidR="002C0502" w:rsidRDefault="00994528" w:rsidP="00994528">
      <w:pPr>
        <w:tabs>
          <w:tab w:val="left" w:pos="0"/>
        </w:tabs>
        <w:autoSpaceDE/>
        <w:autoSpaceDN/>
        <w:spacing w:after="240"/>
        <w:jc w:val="both"/>
        <w:rPr>
          <w:rFonts w:ascii="Arial" w:hAnsi="Arial" w:cs="Arial"/>
          <w:bCs/>
          <w:iCs/>
          <w:sz w:val="22"/>
          <w:szCs w:val="22"/>
        </w:rPr>
      </w:pPr>
      <w:r>
        <w:rPr>
          <w:rFonts w:ascii="Arial" w:hAnsi="Arial" w:cs="Arial"/>
          <w:sz w:val="22"/>
          <w:szCs w:val="22"/>
        </w:rPr>
        <w:t xml:space="preserve">Jonathan Loukes, </w:t>
      </w:r>
      <w:r w:rsidR="002C0502">
        <w:rPr>
          <w:rFonts w:ascii="Arial" w:hAnsi="Arial" w:cs="Arial"/>
          <w:sz w:val="22"/>
          <w:szCs w:val="22"/>
        </w:rPr>
        <w:t>chair of the Committee, outlined the report from the</w:t>
      </w:r>
      <w:r w:rsidR="002C0502" w:rsidRPr="00067547">
        <w:rPr>
          <w:rFonts w:ascii="Arial" w:hAnsi="Arial" w:cs="Arial"/>
          <w:bCs/>
          <w:iCs/>
          <w:sz w:val="22"/>
          <w:szCs w:val="22"/>
        </w:rPr>
        <w:t xml:space="preserve"> Committee</w:t>
      </w:r>
      <w:r w:rsidR="002C0502">
        <w:rPr>
          <w:rFonts w:ascii="Arial" w:hAnsi="Arial" w:cs="Arial"/>
          <w:bCs/>
          <w:iCs/>
          <w:sz w:val="22"/>
          <w:szCs w:val="22"/>
        </w:rPr>
        <w:t>.</w:t>
      </w:r>
      <w:r w:rsidR="002C0502" w:rsidRPr="00067547">
        <w:rPr>
          <w:rFonts w:ascii="Arial" w:hAnsi="Arial" w:cs="Arial"/>
          <w:bCs/>
          <w:iCs/>
          <w:sz w:val="22"/>
          <w:szCs w:val="22"/>
        </w:rPr>
        <w:t xml:space="preserve"> </w:t>
      </w:r>
      <w:bookmarkStart w:id="5" w:name="_Hlk87269413"/>
      <w:r>
        <w:rPr>
          <w:rFonts w:ascii="Arial" w:hAnsi="Arial" w:cs="Arial"/>
          <w:bCs/>
          <w:iCs/>
          <w:sz w:val="22"/>
          <w:szCs w:val="22"/>
        </w:rPr>
        <w:t>It was reported that the Finance Committee had</w:t>
      </w:r>
      <w:r w:rsidRPr="00994528">
        <w:rPr>
          <w:rFonts w:ascii="Arial" w:hAnsi="Arial" w:cs="Arial"/>
          <w:bCs/>
          <w:iCs/>
          <w:sz w:val="22"/>
          <w:szCs w:val="22"/>
        </w:rPr>
        <w:t xml:space="preserve"> approved the investment request for £23.7m for the next phase of the NIIP and Court </w:t>
      </w:r>
      <w:r>
        <w:rPr>
          <w:rFonts w:ascii="Arial" w:hAnsi="Arial" w:cs="Arial"/>
          <w:bCs/>
          <w:iCs/>
          <w:sz w:val="22"/>
          <w:szCs w:val="22"/>
        </w:rPr>
        <w:t xml:space="preserve">approved the investment request </w:t>
      </w:r>
      <w:r w:rsidRPr="00994528">
        <w:rPr>
          <w:rFonts w:ascii="Arial" w:hAnsi="Arial" w:cs="Arial"/>
          <w:bCs/>
          <w:iCs/>
          <w:sz w:val="22"/>
          <w:szCs w:val="22"/>
        </w:rPr>
        <w:t xml:space="preserve">given the total project spend was £73m and total cumulative spend to date was £40.1m. </w:t>
      </w:r>
      <w:r>
        <w:rPr>
          <w:rFonts w:ascii="Arial" w:hAnsi="Arial" w:cs="Arial"/>
          <w:bCs/>
          <w:iCs/>
          <w:sz w:val="22"/>
          <w:szCs w:val="22"/>
        </w:rPr>
        <w:t xml:space="preserve"> The Committee had also received an update on the SRI Policy revie</w:t>
      </w:r>
      <w:r w:rsidR="00CA2D7C">
        <w:rPr>
          <w:rFonts w:ascii="Arial" w:hAnsi="Arial" w:cs="Arial"/>
          <w:bCs/>
          <w:iCs/>
          <w:sz w:val="22"/>
          <w:szCs w:val="22"/>
        </w:rPr>
        <w:t>w</w:t>
      </w:r>
      <w:r>
        <w:rPr>
          <w:rFonts w:ascii="Arial" w:hAnsi="Arial" w:cs="Arial"/>
          <w:bCs/>
          <w:iCs/>
          <w:sz w:val="22"/>
          <w:szCs w:val="22"/>
        </w:rPr>
        <w:t xml:space="preserve">, approved the TRAC Return for 2022/23 and had requested further details </w:t>
      </w:r>
      <w:r w:rsidRPr="00994528">
        <w:rPr>
          <w:rFonts w:ascii="Arial" w:hAnsi="Arial" w:cs="Arial"/>
          <w:bCs/>
          <w:iCs/>
          <w:sz w:val="22"/>
          <w:szCs w:val="22"/>
        </w:rPr>
        <w:t>around the contingency amounts associated with works on the Kelvin building, which would be provided out of cycle – with a total additional value of £0.57m</w:t>
      </w:r>
      <w:r w:rsidR="000F19C5">
        <w:rPr>
          <w:rFonts w:ascii="Arial" w:hAnsi="Arial" w:cs="Arial"/>
          <w:bCs/>
          <w:iCs/>
          <w:sz w:val="22"/>
          <w:szCs w:val="22"/>
        </w:rPr>
        <w:t>.</w:t>
      </w:r>
    </w:p>
    <w:p w14:paraId="21C39B55" w14:textId="43486EF5" w:rsidR="00A84109" w:rsidRDefault="00A84109" w:rsidP="00994528">
      <w:pPr>
        <w:tabs>
          <w:tab w:val="left" w:pos="0"/>
        </w:tabs>
        <w:autoSpaceDE/>
        <w:autoSpaceDN/>
        <w:spacing w:after="240"/>
        <w:jc w:val="both"/>
        <w:rPr>
          <w:rFonts w:ascii="Arial" w:hAnsi="Arial" w:cs="Arial"/>
          <w:bCs/>
          <w:iCs/>
          <w:sz w:val="22"/>
          <w:szCs w:val="22"/>
        </w:rPr>
      </w:pPr>
      <w:r>
        <w:rPr>
          <w:rFonts w:ascii="Arial" w:hAnsi="Arial" w:cs="Arial"/>
          <w:bCs/>
          <w:iCs/>
          <w:sz w:val="22"/>
          <w:szCs w:val="22"/>
        </w:rPr>
        <w:t xml:space="preserve">It was also reported that the Committee had discussed the issues with BACs </w:t>
      </w:r>
      <w:r w:rsidR="00206026">
        <w:rPr>
          <w:rFonts w:ascii="Arial" w:hAnsi="Arial" w:cs="Arial"/>
          <w:bCs/>
          <w:iCs/>
          <w:sz w:val="22"/>
          <w:szCs w:val="22"/>
        </w:rPr>
        <w:t xml:space="preserve">salary </w:t>
      </w:r>
      <w:r>
        <w:rPr>
          <w:rFonts w:ascii="Arial" w:hAnsi="Arial" w:cs="Arial"/>
          <w:bCs/>
          <w:iCs/>
          <w:sz w:val="22"/>
          <w:szCs w:val="22"/>
        </w:rPr>
        <w:t xml:space="preserve">payments to staff in June 2024 and the steps that were taken to prevent reoccurrence. Court noted that the issue had also been discussed at the Audit and Risk Committee. </w:t>
      </w:r>
    </w:p>
    <w:bookmarkEnd w:id="5"/>
    <w:p w14:paraId="4DB67570" w14:textId="77777777" w:rsidR="002C0502" w:rsidRPr="00067547" w:rsidRDefault="002C0502" w:rsidP="002C0502">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067547">
        <w:rPr>
          <w:rFonts w:ascii="Arial" w:hAnsi="Arial" w:cs="Arial"/>
          <w:spacing w:val="1"/>
          <w:sz w:val="22"/>
          <w:szCs w:val="22"/>
        </w:rPr>
        <w:t>The report was noted.</w:t>
      </w:r>
    </w:p>
    <w:p w14:paraId="6BC435F5" w14:textId="2505055A" w:rsidR="002C0502" w:rsidRPr="00D1426F" w:rsidRDefault="002C0502" w:rsidP="002C0502">
      <w:pPr>
        <w:tabs>
          <w:tab w:val="left" w:pos="1134"/>
          <w:tab w:val="left" w:pos="1418"/>
          <w:tab w:val="left" w:pos="1701"/>
          <w:tab w:val="left" w:pos="1985"/>
          <w:tab w:val="left" w:pos="2268"/>
          <w:tab w:val="left" w:pos="2551"/>
        </w:tabs>
        <w:spacing w:before="120" w:after="240"/>
        <w:ind w:right="-79"/>
        <w:jc w:val="both"/>
        <w:rPr>
          <w:rFonts w:ascii="Arial" w:hAnsi="Arial" w:cs="Arial"/>
          <w:i/>
          <w:iCs/>
          <w:sz w:val="22"/>
          <w:szCs w:val="22"/>
        </w:rPr>
      </w:pPr>
      <w:bookmarkStart w:id="6" w:name="_Hlk87269438"/>
      <w:r w:rsidRPr="00D1426F">
        <w:rPr>
          <w:rFonts w:ascii="Arial" w:hAnsi="Arial" w:cs="Arial"/>
          <w:i/>
          <w:iCs/>
          <w:sz w:val="22"/>
          <w:szCs w:val="22"/>
        </w:rPr>
        <w:t>CRT/202</w:t>
      </w:r>
      <w:r w:rsidR="00994528">
        <w:rPr>
          <w:rFonts w:ascii="Arial" w:hAnsi="Arial" w:cs="Arial"/>
          <w:i/>
          <w:iCs/>
          <w:sz w:val="22"/>
          <w:szCs w:val="22"/>
        </w:rPr>
        <w:t>4</w:t>
      </w:r>
      <w:r w:rsidRPr="00D1426F">
        <w:rPr>
          <w:rFonts w:ascii="Arial" w:hAnsi="Arial" w:cs="Arial"/>
          <w:i/>
          <w:iCs/>
          <w:sz w:val="22"/>
          <w:szCs w:val="22"/>
        </w:rPr>
        <w:t>/</w:t>
      </w:r>
      <w:r w:rsidR="00994528">
        <w:rPr>
          <w:rFonts w:ascii="Arial" w:hAnsi="Arial" w:cs="Arial"/>
          <w:i/>
          <w:iCs/>
          <w:sz w:val="22"/>
          <w:szCs w:val="22"/>
        </w:rPr>
        <w:t>12</w:t>
      </w:r>
      <w:r w:rsidRPr="00D1426F">
        <w:rPr>
          <w:rFonts w:ascii="Arial" w:hAnsi="Arial" w:cs="Arial"/>
          <w:i/>
          <w:iCs/>
          <w:sz w:val="22"/>
          <w:szCs w:val="22"/>
        </w:rPr>
        <w:t>.2 Estates Committee</w:t>
      </w:r>
    </w:p>
    <w:p w14:paraId="5D71DDF9" w14:textId="0CDE4EA4" w:rsidR="002C0502" w:rsidRDefault="002C0502" w:rsidP="00994528">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Pr>
          <w:rFonts w:ascii="Arial" w:hAnsi="Arial" w:cs="Arial"/>
          <w:sz w:val="22"/>
          <w:szCs w:val="22"/>
        </w:rPr>
        <w:t>Stuart Hoggan</w:t>
      </w:r>
      <w:r w:rsidRPr="00D1426F">
        <w:rPr>
          <w:rFonts w:ascii="Arial" w:hAnsi="Arial" w:cs="Arial"/>
          <w:sz w:val="22"/>
          <w:szCs w:val="22"/>
        </w:rPr>
        <w:t>, chair of the Committee, outlined the report from the Committee whic</w:t>
      </w:r>
      <w:r w:rsidR="000F19C5">
        <w:rPr>
          <w:rFonts w:ascii="Arial" w:hAnsi="Arial" w:cs="Arial"/>
          <w:sz w:val="22"/>
          <w:szCs w:val="22"/>
        </w:rPr>
        <w:t>h</w:t>
      </w:r>
      <w:r>
        <w:rPr>
          <w:rFonts w:ascii="Arial" w:hAnsi="Arial" w:cs="Arial"/>
          <w:sz w:val="22"/>
          <w:szCs w:val="22"/>
        </w:rPr>
        <w:t xml:space="preserve"> </w:t>
      </w:r>
      <w:r w:rsidR="000F19C5">
        <w:rPr>
          <w:rFonts w:ascii="Arial" w:hAnsi="Arial" w:cs="Arial"/>
          <w:sz w:val="22"/>
          <w:szCs w:val="22"/>
        </w:rPr>
        <w:t xml:space="preserve">had approved the Keystone Building Business Case, Estates Investment Plan for 2024/25 and had received an update on Sustainability. </w:t>
      </w:r>
    </w:p>
    <w:bookmarkEnd w:id="6"/>
    <w:p w14:paraId="2B0E480C" w14:textId="77777777" w:rsidR="002C0502" w:rsidRPr="00D1426F" w:rsidRDefault="002C0502" w:rsidP="002C0502">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D1426F">
        <w:rPr>
          <w:rFonts w:ascii="Arial" w:hAnsi="Arial" w:cs="Arial"/>
          <w:spacing w:val="1"/>
          <w:sz w:val="22"/>
          <w:szCs w:val="22"/>
        </w:rPr>
        <w:t>The report was noted.</w:t>
      </w:r>
    </w:p>
    <w:p w14:paraId="5DEEB64B" w14:textId="6B962B91" w:rsidR="002C0502" w:rsidRPr="00D1426F" w:rsidRDefault="002C0502" w:rsidP="002C0502">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D1426F">
        <w:rPr>
          <w:rFonts w:ascii="Arial" w:hAnsi="Arial" w:cs="Arial"/>
          <w:i/>
          <w:iCs/>
          <w:sz w:val="22"/>
          <w:szCs w:val="22"/>
        </w:rPr>
        <w:t>CRT/202</w:t>
      </w:r>
      <w:r w:rsidR="00994528">
        <w:rPr>
          <w:rFonts w:ascii="Arial" w:hAnsi="Arial" w:cs="Arial"/>
          <w:i/>
          <w:iCs/>
          <w:sz w:val="22"/>
          <w:szCs w:val="22"/>
        </w:rPr>
        <w:t>4</w:t>
      </w:r>
      <w:r w:rsidRPr="00D1426F">
        <w:rPr>
          <w:rFonts w:ascii="Arial" w:hAnsi="Arial" w:cs="Arial"/>
          <w:i/>
          <w:iCs/>
          <w:sz w:val="22"/>
          <w:szCs w:val="22"/>
        </w:rPr>
        <w:t>/</w:t>
      </w:r>
      <w:r w:rsidR="00994528">
        <w:rPr>
          <w:rFonts w:ascii="Arial" w:hAnsi="Arial" w:cs="Arial"/>
          <w:i/>
          <w:iCs/>
          <w:sz w:val="22"/>
          <w:szCs w:val="22"/>
        </w:rPr>
        <w:t>12</w:t>
      </w:r>
      <w:r w:rsidRPr="00D1426F">
        <w:rPr>
          <w:rFonts w:ascii="Arial" w:hAnsi="Arial" w:cs="Arial"/>
          <w:i/>
          <w:iCs/>
          <w:sz w:val="22"/>
          <w:szCs w:val="22"/>
        </w:rPr>
        <w:t>.3 Audit &amp; Risk Committee</w:t>
      </w:r>
    </w:p>
    <w:p w14:paraId="29D45575" w14:textId="2D512710" w:rsidR="002C0502" w:rsidRDefault="002C0502" w:rsidP="000F19C5">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Pr>
          <w:rFonts w:ascii="Arial" w:hAnsi="Arial" w:cs="Arial"/>
          <w:sz w:val="22"/>
          <w:szCs w:val="22"/>
        </w:rPr>
        <w:t>Elspeth Orcharton, chair of the Committee, reported that the</w:t>
      </w:r>
      <w:r w:rsidRPr="00D1426F">
        <w:rPr>
          <w:rFonts w:ascii="Arial" w:hAnsi="Arial" w:cs="Arial"/>
          <w:sz w:val="22"/>
          <w:szCs w:val="22"/>
        </w:rPr>
        <w:t xml:space="preserve"> Committee </w:t>
      </w:r>
      <w:r>
        <w:rPr>
          <w:rFonts w:ascii="Arial" w:hAnsi="Arial" w:cs="Arial"/>
          <w:sz w:val="22"/>
          <w:szCs w:val="22"/>
        </w:rPr>
        <w:t xml:space="preserve">had </w:t>
      </w:r>
      <w:r w:rsidRPr="00D1426F">
        <w:rPr>
          <w:rFonts w:ascii="Arial" w:hAnsi="Arial" w:cs="Arial"/>
          <w:sz w:val="22"/>
          <w:szCs w:val="22"/>
        </w:rPr>
        <w:t>received a briefing on the update</w:t>
      </w:r>
      <w:r w:rsidRPr="002349B0">
        <w:rPr>
          <w:rFonts w:asciiTheme="minorBidi" w:hAnsiTheme="minorBidi" w:cstheme="minorBidi"/>
          <w:sz w:val="22"/>
          <w:szCs w:val="22"/>
        </w:rPr>
        <w:t xml:space="preserve">d Risk Register. It was agreed that the updated Register would be included in Court papers for September 2023 for approval. The Committee also received internal audit reports on: </w:t>
      </w:r>
      <w:r w:rsidR="000F19C5" w:rsidRPr="000F19C5">
        <w:rPr>
          <w:rFonts w:asciiTheme="minorBidi" w:hAnsiTheme="minorBidi" w:cstheme="minorBidi"/>
          <w:sz w:val="22"/>
          <w:szCs w:val="22"/>
        </w:rPr>
        <w:t>Core Financial Controls: Treasury Management, Data and Analytics Framework, Data Retention for HR System Records, Operational Risk Management, Service Excellence Project Advisory Report</w:t>
      </w:r>
      <w:r w:rsidR="000F19C5">
        <w:rPr>
          <w:rFonts w:asciiTheme="minorBidi" w:hAnsiTheme="minorBidi" w:cstheme="minorBidi"/>
          <w:sz w:val="22"/>
          <w:szCs w:val="22"/>
        </w:rPr>
        <w:t xml:space="preserve"> and the Keystone Building Business Case.</w:t>
      </w:r>
    </w:p>
    <w:p w14:paraId="42D61429" w14:textId="731AD699" w:rsidR="000F19C5" w:rsidRDefault="000F19C5" w:rsidP="000F19C5">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Pr>
          <w:rFonts w:asciiTheme="minorBidi" w:hAnsiTheme="minorBidi" w:cstheme="minorBidi"/>
          <w:sz w:val="22"/>
          <w:szCs w:val="22"/>
        </w:rPr>
        <w:t>Court noted that t</w:t>
      </w:r>
      <w:r w:rsidRPr="000F19C5">
        <w:rPr>
          <w:rFonts w:asciiTheme="minorBidi" w:hAnsiTheme="minorBidi" w:cstheme="minorBidi"/>
          <w:sz w:val="22"/>
          <w:szCs w:val="22"/>
        </w:rPr>
        <w:t xml:space="preserve">he Committee received the Internal Audit report for 2023/24 from KPMG and noted that for the 14 reviews completed in 2023/24: 3 were green; 4 were </w:t>
      </w:r>
      <w:proofErr w:type="gramStart"/>
      <w:r w:rsidRPr="000F19C5">
        <w:rPr>
          <w:rFonts w:asciiTheme="minorBidi" w:hAnsiTheme="minorBidi" w:cstheme="minorBidi"/>
          <w:sz w:val="22"/>
          <w:szCs w:val="22"/>
        </w:rPr>
        <w:t>green-amber</w:t>
      </w:r>
      <w:proofErr w:type="gramEnd"/>
      <w:r w:rsidRPr="000F19C5">
        <w:rPr>
          <w:rFonts w:asciiTheme="minorBidi" w:hAnsiTheme="minorBidi" w:cstheme="minorBidi"/>
          <w:sz w:val="22"/>
          <w:szCs w:val="22"/>
        </w:rPr>
        <w:t xml:space="preserve">; 5 were amber-red; and two were advisory reports. The internal auditors had issued an annual report for 2023/24, which included an opinion on the adequacy and effectiveness of governance, risk management and control, and of the University’s economy, efficiency and effectiveness (value for money) arrangements. The opinion was based on an assessment of the design and operation of the underpinning aspects of the risk and assurance framework and supporting </w:t>
      </w:r>
      <w:r w:rsidRPr="000F19C5">
        <w:rPr>
          <w:rFonts w:asciiTheme="minorBidi" w:hAnsiTheme="minorBidi" w:cstheme="minorBidi"/>
          <w:sz w:val="22"/>
          <w:szCs w:val="22"/>
        </w:rPr>
        <w:lastRenderedPageBreak/>
        <w:t>processes; an assessment of the range of individual assurances arising from their risk-based internal audit assignments that have been reported throughout the period. This assessment ha</w:t>
      </w:r>
      <w:r>
        <w:rPr>
          <w:rFonts w:asciiTheme="minorBidi" w:hAnsiTheme="minorBidi" w:cstheme="minorBidi"/>
          <w:sz w:val="22"/>
          <w:szCs w:val="22"/>
        </w:rPr>
        <w:t>d</w:t>
      </w:r>
      <w:r w:rsidRPr="000F19C5">
        <w:rPr>
          <w:rFonts w:asciiTheme="minorBidi" w:hAnsiTheme="minorBidi" w:cstheme="minorBidi"/>
          <w:sz w:val="22"/>
          <w:szCs w:val="22"/>
        </w:rPr>
        <w:t xml:space="preserve"> taken account of the relative materiality of these areas; and an assessment of the process by which the university has assurance over the registration requirements of its regulator(s).</w:t>
      </w:r>
    </w:p>
    <w:p w14:paraId="792B912C" w14:textId="2EDE942C" w:rsidR="000F19C5" w:rsidRDefault="000F19C5" w:rsidP="000F19C5">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Pr>
          <w:rFonts w:ascii="Arial" w:hAnsi="Arial" w:cs="Arial"/>
          <w:sz w:val="22"/>
          <w:szCs w:val="22"/>
        </w:rPr>
        <w:t>T</w:t>
      </w:r>
      <w:r w:rsidRPr="000F19C5">
        <w:rPr>
          <w:rFonts w:ascii="Arial" w:hAnsi="Arial" w:cs="Arial"/>
          <w:sz w:val="22"/>
          <w:szCs w:val="22"/>
        </w:rPr>
        <w:t>he opinion for 2023/24 was that significant assurance with minor improvement opportunities could be given on the overall adequacy and effectiveness of the organisation’s framework of governance, risk management and control.</w:t>
      </w:r>
      <w:r w:rsidRPr="000F19C5">
        <w:t xml:space="preserve"> </w:t>
      </w:r>
      <w:r w:rsidRPr="000F19C5">
        <w:rPr>
          <w:rFonts w:ascii="Arial" w:hAnsi="Arial" w:cs="Arial"/>
          <w:sz w:val="22"/>
          <w:szCs w:val="22"/>
        </w:rPr>
        <w:t>During the discussion the Committee noted that when reflecting on the range of internal audits undertaken in the year, as well as those specifically referenced above, KPMG have not noted any control deficiencies which prevented them from issuing an overall ‘significant assurance with minor improvement opportunities’ conclusion. The University Risk Register reflect</w:t>
      </w:r>
      <w:r>
        <w:rPr>
          <w:rFonts w:ascii="Arial" w:hAnsi="Arial" w:cs="Arial"/>
          <w:sz w:val="22"/>
          <w:szCs w:val="22"/>
        </w:rPr>
        <w:t>ed</w:t>
      </w:r>
      <w:r w:rsidRPr="000F19C5">
        <w:rPr>
          <w:rFonts w:ascii="Arial" w:hAnsi="Arial" w:cs="Arial"/>
          <w:sz w:val="22"/>
          <w:szCs w:val="22"/>
        </w:rPr>
        <w:t xml:space="preserve"> the University’s key objectives and risks and </w:t>
      </w:r>
      <w:r>
        <w:rPr>
          <w:rFonts w:ascii="Arial" w:hAnsi="Arial" w:cs="Arial"/>
          <w:sz w:val="22"/>
          <w:szCs w:val="22"/>
        </w:rPr>
        <w:t xml:space="preserve">was </w:t>
      </w:r>
      <w:r w:rsidRPr="000F19C5">
        <w:rPr>
          <w:rFonts w:ascii="Arial" w:hAnsi="Arial" w:cs="Arial"/>
          <w:sz w:val="22"/>
          <w:szCs w:val="22"/>
        </w:rPr>
        <w:t xml:space="preserve">regularly reviewed. </w:t>
      </w:r>
      <w:r>
        <w:rPr>
          <w:rFonts w:ascii="Arial" w:hAnsi="Arial" w:cs="Arial"/>
          <w:sz w:val="22"/>
          <w:szCs w:val="22"/>
        </w:rPr>
        <w:t>It was also acknowledged that</w:t>
      </w:r>
      <w:r w:rsidRPr="000F19C5">
        <w:rPr>
          <w:rFonts w:ascii="Arial" w:hAnsi="Arial" w:cs="Arial"/>
          <w:sz w:val="22"/>
          <w:szCs w:val="22"/>
        </w:rPr>
        <w:t xml:space="preserve"> Court review</w:t>
      </w:r>
      <w:r>
        <w:rPr>
          <w:rFonts w:ascii="Arial" w:hAnsi="Arial" w:cs="Arial"/>
          <w:sz w:val="22"/>
          <w:szCs w:val="22"/>
        </w:rPr>
        <w:t>ed</w:t>
      </w:r>
      <w:r w:rsidRPr="000F19C5">
        <w:rPr>
          <w:rFonts w:ascii="Arial" w:hAnsi="Arial" w:cs="Arial"/>
          <w:sz w:val="22"/>
          <w:szCs w:val="22"/>
        </w:rPr>
        <w:t xml:space="preserve"> the Risk Register on a regular basis and the Audit &amp; Risk Committee review</w:t>
      </w:r>
      <w:r>
        <w:rPr>
          <w:rFonts w:ascii="Arial" w:hAnsi="Arial" w:cs="Arial"/>
          <w:sz w:val="22"/>
          <w:szCs w:val="22"/>
        </w:rPr>
        <w:t>ed</w:t>
      </w:r>
      <w:r w:rsidRPr="000F19C5">
        <w:rPr>
          <w:rFonts w:ascii="Arial" w:hAnsi="Arial" w:cs="Arial"/>
          <w:sz w:val="22"/>
          <w:szCs w:val="22"/>
        </w:rPr>
        <w:t xml:space="preserve"> whether the University’s risk management procedures </w:t>
      </w:r>
      <w:r>
        <w:rPr>
          <w:rFonts w:ascii="Arial" w:hAnsi="Arial" w:cs="Arial"/>
          <w:sz w:val="22"/>
          <w:szCs w:val="22"/>
        </w:rPr>
        <w:t>were</w:t>
      </w:r>
      <w:r w:rsidRPr="000F19C5">
        <w:rPr>
          <w:rFonts w:ascii="Arial" w:hAnsi="Arial" w:cs="Arial"/>
          <w:sz w:val="22"/>
          <w:szCs w:val="22"/>
        </w:rPr>
        <w:t xml:space="preserve"> operating effectively.</w:t>
      </w:r>
    </w:p>
    <w:p w14:paraId="4AB4CCA0" w14:textId="77777777" w:rsidR="002C0502" w:rsidRDefault="002C0502" w:rsidP="002C0502">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p>
    <w:p w14:paraId="151AEF11" w14:textId="7419064D" w:rsidR="002C0502" w:rsidRDefault="002C0502" w:rsidP="002C0502">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w:t>
      </w:r>
      <w:r w:rsidR="00994528">
        <w:rPr>
          <w:rFonts w:ascii="Arial" w:hAnsi="Arial" w:cs="Arial"/>
          <w:i/>
          <w:iCs/>
          <w:sz w:val="22"/>
          <w:szCs w:val="22"/>
        </w:rPr>
        <w:t>4</w:t>
      </w:r>
      <w:r>
        <w:rPr>
          <w:rFonts w:ascii="Arial" w:hAnsi="Arial" w:cs="Arial"/>
          <w:i/>
          <w:iCs/>
          <w:sz w:val="22"/>
          <w:szCs w:val="22"/>
        </w:rPr>
        <w:t>/</w:t>
      </w:r>
      <w:r w:rsidR="00994528">
        <w:rPr>
          <w:rFonts w:ascii="Arial" w:hAnsi="Arial" w:cs="Arial"/>
          <w:i/>
          <w:iCs/>
          <w:sz w:val="22"/>
          <w:szCs w:val="22"/>
        </w:rPr>
        <w:t>12</w:t>
      </w:r>
      <w:r>
        <w:rPr>
          <w:rFonts w:ascii="Arial" w:hAnsi="Arial" w:cs="Arial"/>
          <w:i/>
          <w:iCs/>
          <w:sz w:val="22"/>
          <w:szCs w:val="22"/>
        </w:rPr>
        <w:t>.4 IPSC</w:t>
      </w:r>
    </w:p>
    <w:p w14:paraId="2DB66656" w14:textId="77777777" w:rsidR="00A84109" w:rsidRDefault="002C0502" w:rsidP="000F19C5">
      <w:pPr>
        <w:widowControl/>
        <w:overflowPunct/>
        <w:jc w:val="both"/>
        <w:rPr>
          <w:rFonts w:asciiTheme="minorBidi" w:hAnsiTheme="minorBidi" w:cstheme="minorBidi"/>
          <w:kern w:val="0"/>
          <w:sz w:val="22"/>
          <w:szCs w:val="22"/>
          <w:lang w:eastAsia="zh-CN"/>
        </w:rPr>
      </w:pPr>
      <w:r>
        <w:rPr>
          <w:rFonts w:asciiTheme="minorBidi" w:hAnsiTheme="minorBidi" w:cstheme="minorBidi"/>
          <w:sz w:val="22"/>
          <w:szCs w:val="22"/>
        </w:rPr>
        <w:t xml:space="preserve">Frank Coton, chair of the Committee reported that </w:t>
      </w:r>
      <w:r>
        <w:rPr>
          <w:rFonts w:asciiTheme="minorBidi" w:hAnsiTheme="minorBidi" w:cstheme="minorBidi"/>
          <w:kern w:val="0"/>
          <w:sz w:val="22"/>
          <w:szCs w:val="22"/>
          <w:lang w:eastAsia="zh-CN"/>
        </w:rPr>
        <w:t xml:space="preserve">IPSC had </w:t>
      </w:r>
      <w:r w:rsidR="000F19C5" w:rsidRPr="000F19C5">
        <w:rPr>
          <w:rFonts w:asciiTheme="minorBidi" w:hAnsiTheme="minorBidi" w:cstheme="minorBidi"/>
          <w:kern w:val="0"/>
          <w:sz w:val="22"/>
          <w:szCs w:val="22"/>
          <w:lang w:eastAsia="zh-CN"/>
        </w:rPr>
        <w:t>focused on cyber security, noting improved balance between prevention activities and business continuity discussions, leading to increased awareness and engagement. Key progress included near completion of a mandatory awareness</w:t>
      </w:r>
      <w:r w:rsidR="000F19C5" w:rsidRPr="000F19C5">
        <w:rPr>
          <w:rFonts w:ascii="Cambria Math" w:hAnsi="Cambria Math" w:cs="Cambria Math"/>
          <w:kern w:val="0"/>
          <w:sz w:val="22"/>
          <w:szCs w:val="22"/>
          <w:lang w:eastAsia="zh-CN"/>
        </w:rPr>
        <w:t>‐</w:t>
      </w:r>
      <w:r w:rsidR="000F19C5" w:rsidRPr="000F19C5">
        <w:rPr>
          <w:rFonts w:asciiTheme="minorBidi" w:hAnsiTheme="minorBidi" w:cstheme="minorBidi"/>
          <w:kern w:val="0"/>
          <w:sz w:val="22"/>
          <w:szCs w:val="22"/>
          <w:lang w:eastAsia="zh-CN"/>
        </w:rPr>
        <w:t>raising course for all staff and recruitment of new team members.</w:t>
      </w:r>
      <w:r w:rsidR="000F19C5" w:rsidRPr="000F19C5">
        <w:t xml:space="preserve"> </w:t>
      </w:r>
      <w:r w:rsidR="000F19C5" w:rsidRPr="000F19C5">
        <w:rPr>
          <w:rFonts w:asciiTheme="minorBidi" w:hAnsiTheme="minorBidi" w:cstheme="minorBidi"/>
          <w:kern w:val="0"/>
          <w:sz w:val="22"/>
          <w:szCs w:val="22"/>
          <w:lang w:eastAsia="zh-CN"/>
        </w:rPr>
        <w:t xml:space="preserve">IPSC </w:t>
      </w:r>
      <w:r w:rsidR="000F19C5">
        <w:rPr>
          <w:rFonts w:asciiTheme="minorBidi" w:hAnsiTheme="minorBidi" w:cstheme="minorBidi"/>
          <w:kern w:val="0"/>
          <w:sz w:val="22"/>
          <w:szCs w:val="22"/>
          <w:lang w:eastAsia="zh-CN"/>
        </w:rPr>
        <w:t xml:space="preserve">had also </w:t>
      </w:r>
      <w:r w:rsidR="000F19C5" w:rsidRPr="000F19C5">
        <w:rPr>
          <w:rFonts w:asciiTheme="minorBidi" w:hAnsiTheme="minorBidi" w:cstheme="minorBidi"/>
          <w:kern w:val="0"/>
          <w:sz w:val="22"/>
          <w:szCs w:val="22"/>
          <w:lang w:eastAsia="zh-CN"/>
        </w:rPr>
        <w:t>considered the updated Business Case for the Network Infrastructure Investment Programme</w:t>
      </w:r>
      <w:r w:rsidR="000F19C5">
        <w:rPr>
          <w:rFonts w:asciiTheme="minorBidi" w:hAnsiTheme="minorBidi" w:cstheme="minorBidi"/>
          <w:kern w:val="0"/>
          <w:sz w:val="22"/>
          <w:szCs w:val="22"/>
          <w:lang w:eastAsia="zh-CN"/>
        </w:rPr>
        <w:t xml:space="preserve"> which was discussed earlier in the meeting. </w:t>
      </w:r>
    </w:p>
    <w:p w14:paraId="697DBE85" w14:textId="77777777" w:rsidR="00A84109" w:rsidRDefault="00A84109" w:rsidP="000F19C5">
      <w:pPr>
        <w:widowControl/>
        <w:overflowPunct/>
        <w:jc w:val="both"/>
        <w:rPr>
          <w:rFonts w:asciiTheme="minorBidi" w:hAnsiTheme="minorBidi" w:cstheme="minorBidi"/>
          <w:kern w:val="0"/>
          <w:sz w:val="22"/>
          <w:szCs w:val="22"/>
          <w:lang w:eastAsia="zh-CN"/>
        </w:rPr>
      </w:pPr>
    </w:p>
    <w:p w14:paraId="6D1E57C7" w14:textId="41BD796B" w:rsidR="002C0502" w:rsidRPr="00011FAC" w:rsidRDefault="000F19C5" w:rsidP="000F19C5">
      <w:pPr>
        <w:widowControl/>
        <w:overflowPunct/>
        <w:jc w:val="both"/>
        <w:rPr>
          <w:rFonts w:ascii="Arial" w:hAnsi="Arial" w:cs="Arial"/>
          <w:bCs/>
          <w:iCs/>
          <w:sz w:val="22"/>
          <w:szCs w:val="22"/>
        </w:rPr>
      </w:pPr>
      <w:r>
        <w:rPr>
          <w:rFonts w:asciiTheme="minorBidi" w:hAnsiTheme="minorBidi" w:cstheme="minorBidi"/>
          <w:kern w:val="0"/>
          <w:sz w:val="22"/>
          <w:szCs w:val="22"/>
          <w:lang w:eastAsia="zh-CN"/>
        </w:rPr>
        <w:t>The Committee had also received an update on Project Eos.</w:t>
      </w:r>
      <w:r w:rsidR="00A84109">
        <w:rPr>
          <w:rFonts w:asciiTheme="minorBidi" w:hAnsiTheme="minorBidi" w:cstheme="minorBidi"/>
          <w:kern w:val="0"/>
          <w:sz w:val="22"/>
          <w:szCs w:val="22"/>
          <w:lang w:eastAsia="zh-CN"/>
        </w:rPr>
        <w:t xml:space="preserve"> A query was raised about issues that some staff were having with individual devices, and it was noted that any issues raised could be dealt with on a </w:t>
      </w:r>
      <w:proofErr w:type="gramStart"/>
      <w:r w:rsidR="00A84109">
        <w:rPr>
          <w:rFonts w:asciiTheme="minorBidi" w:hAnsiTheme="minorBidi" w:cstheme="minorBidi"/>
          <w:kern w:val="0"/>
          <w:sz w:val="22"/>
          <w:szCs w:val="22"/>
          <w:lang w:eastAsia="zh-CN"/>
        </w:rPr>
        <w:t>case by case</w:t>
      </w:r>
      <w:proofErr w:type="gramEnd"/>
      <w:r w:rsidR="00A84109">
        <w:rPr>
          <w:rFonts w:asciiTheme="minorBidi" w:hAnsiTheme="minorBidi" w:cstheme="minorBidi"/>
          <w:kern w:val="0"/>
          <w:sz w:val="22"/>
          <w:szCs w:val="22"/>
          <w:lang w:eastAsia="zh-CN"/>
        </w:rPr>
        <w:t xml:space="preserve"> basis however at present no major issues had been raised directly with the team managing the project. </w:t>
      </w:r>
      <w:r>
        <w:rPr>
          <w:rFonts w:asciiTheme="minorBidi" w:hAnsiTheme="minorBidi" w:cstheme="minorBidi"/>
          <w:kern w:val="0"/>
          <w:sz w:val="22"/>
          <w:szCs w:val="22"/>
          <w:lang w:eastAsia="zh-CN"/>
        </w:rPr>
        <w:t xml:space="preserve"> </w:t>
      </w:r>
    </w:p>
    <w:p w14:paraId="32372BFA" w14:textId="77777777" w:rsidR="00994528" w:rsidRDefault="00994528" w:rsidP="002C0502">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p>
    <w:p w14:paraId="4E0A73C9" w14:textId="099ED86F" w:rsidR="002C0502" w:rsidRDefault="002C0502" w:rsidP="00994528">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p>
    <w:p w14:paraId="0208CE79" w14:textId="60031664" w:rsidR="002C0502" w:rsidRDefault="002C0502" w:rsidP="002C0502">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w:t>
      </w:r>
      <w:r w:rsidR="00A84109">
        <w:rPr>
          <w:rFonts w:ascii="Arial" w:hAnsi="Arial" w:cs="Arial"/>
          <w:i/>
          <w:iCs/>
          <w:sz w:val="22"/>
          <w:szCs w:val="22"/>
        </w:rPr>
        <w:t>4</w:t>
      </w:r>
      <w:r>
        <w:rPr>
          <w:rFonts w:ascii="Arial" w:hAnsi="Arial" w:cs="Arial"/>
          <w:i/>
          <w:iCs/>
          <w:sz w:val="22"/>
          <w:szCs w:val="22"/>
        </w:rPr>
        <w:t>/</w:t>
      </w:r>
      <w:r w:rsidR="00A84109">
        <w:rPr>
          <w:rFonts w:ascii="Arial" w:hAnsi="Arial" w:cs="Arial"/>
          <w:i/>
          <w:iCs/>
          <w:sz w:val="22"/>
          <w:szCs w:val="22"/>
        </w:rPr>
        <w:t>12</w:t>
      </w:r>
      <w:r>
        <w:rPr>
          <w:rFonts w:ascii="Arial" w:hAnsi="Arial" w:cs="Arial"/>
          <w:i/>
          <w:iCs/>
          <w:sz w:val="22"/>
          <w:szCs w:val="22"/>
        </w:rPr>
        <w:t>.5 People and Organisational Development Committee</w:t>
      </w:r>
    </w:p>
    <w:p w14:paraId="2BB20971" w14:textId="71D233C9" w:rsidR="002C0502" w:rsidRDefault="00994528" w:rsidP="00A84109">
      <w:pPr>
        <w:pStyle w:val="paragraph"/>
        <w:spacing w:before="0" w:after="0"/>
        <w:ind w:right="-47"/>
        <w:jc w:val="both"/>
        <w:rPr>
          <w:rFonts w:asciiTheme="minorBidi" w:hAnsiTheme="minorBidi" w:cstheme="minorBidi"/>
          <w:sz w:val="22"/>
          <w:szCs w:val="22"/>
          <w:lang w:val="en-GB"/>
        </w:rPr>
      </w:pPr>
      <w:r>
        <w:rPr>
          <w:rFonts w:asciiTheme="minorBidi" w:hAnsiTheme="minorBidi" w:cstheme="minorBidi"/>
          <w:sz w:val="22"/>
          <w:szCs w:val="22"/>
        </w:rPr>
        <w:t>Kerry Christie</w:t>
      </w:r>
      <w:r w:rsidR="002C0502" w:rsidRPr="00D8135D">
        <w:rPr>
          <w:rFonts w:asciiTheme="minorBidi" w:hAnsiTheme="minorBidi" w:cstheme="minorBidi"/>
          <w:sz w:val="22"/>
          <w:szCs w:val="22"/>
        </w:rPr>
        <w:t xml:space="preserve">, chair of the Committee </w:t>
      </w:r>
      <w:r w:rsidR="00A84109">
        <w:rPr>
          <w:rFonts w:asciiTheme="minorBidi" w:hAnsiTheme="minorBidi" w:cstheme="minorBidi"/>
          <w:sz w:val="22"/>
          <w:szCs w:val="22"/>
        </w:rPr>
        <w:t xml:space="preserve">reported that </w:t>
      </w:r>
      <w:r w:rsidR="00A84109">
        <w:rPr>
          <w:rFonts w:asciiTheme="minorBidi" w:hAnsiTheme="minorBidi" w:cstheme="minorBidi"/>
          <w:sz w:val="22"/>
          <w:szCs w:val="22"/>
          <w:lang w:val="en-GB"/>
        </w:rPr>
        <w:t>t</w:t>
      </w:r>
      <w:r w:rsidR="00A84109" w:rsidRPr="00A84109">
        <w:rPr>
          <w:rFonts w:asciiTheme="minorBidi" w:hAnsiTheme="minorBidi" w:cstheme="minorBidi"/>
          <w:sz w:val="22"/>
          <w:szCs w:val="22"/>
          <w:lang w:val="en-GB"/>
        </w:rPr>
        <w:t xml:space="preserve">he Senior Vice Principal and Deputy Vice Chancellor (Academic) </w:t>
      </w:r>
      <w:r w:rsidR="00A84109">
        <w:rPr>
          <w:rFonts w:asciiTheme="minorBidi" w:hAnsiTheme="minorBidi" w:cstheme="minorBidi"/>
          <w:sz w:val="22"/>
          <w:szCs w:val="22"/>
          <w:lang w:val="en-GB"/>
        </w:rPr>
        <w:t xml:space="preserve">had </w:t>
      </w:r>
      <w:r w:rsidR="00A84109" w:rsidRPr="00A84109">
        <w:rPr>
          <w:rFonts w:asciiTheme="minorBidi" w:hAnsiTheme="minorBidi" w:cstheme="minorBidi"/>
          <w:sz w:val="22"/>
          <w:szCs w:val="22"/>
          <w:lang w:val="en-GB"/>
        </w:rPr>
        <w:t xml:space="preserve">provided an update on the development of the University’s next strategy including an overview and his reflections of previous strategic cycles. The Executive Director of People &amp; OD shared an update on the appointment process for the new Principal &amp; Vice Chancellor, acknowledged the ongoing development of the next University strategy, initiated a discussion on the review of the POD Committee, provided an updated on the annual pay negotiations, and invited the committee to join in congratulating recent UHR Award winners.  The Committee </w:t>
      </w:r>
      <w:r w:rsidR="00A84109">
        <w:rPr>
          <w:rFonts w:asciiTheme="minorBidi" w:hAnsiTheme="minorBidi" w:cstheme="minorBidi"/>
          <w:sz w:val="22"/>
          <w:szCs w:val="22"/>
          <w:lang w:val="en-GB"/>
        </w:rPr>
        <w:t xml:space="preserve">had also received an update on the </w:t>
      </w:r>
      <w:r w:rsidR="00A84109" w:rsidRPr="00A84109">
        <w:rPr>
          <w:rFonts w:asciiTheme="minorBidi" w:hAnsiTheme="minorBidi" w:cstheme="minorBidi"/>
          <w:sz w:val="22"/>
          <w:szCs w:val="22"/>
          <w:lang w:val="en-GB"/>
        </w:rPr>
        <w:t xml:space="preserve">progress of P&amp;OD transformation including system developments. </w:t>
      </w:r>
    </w:p>
    <w:p w14:paraId="7B07CAA8" w14:textId="77777777" w:rsidR="00A84109" w:rsidRDefault="00A84109" w:rsidP="00A84109">
      <w:pPr>
        <w:pStyle w:val="paragraph"/>
        <w:spacing w:before="0" w:after="0"/>
        <w:ind w:right="-47"/>
        <w:jc w:val="both"/>
        <w:rPr>
          <w:rFonts w:asciiTheme="minorBidi" w:hAnsiTheme="minorBidi" w:cstheme="minorBidi"/>
          <w:sz w:val="22"/>
          <w:szCs w:val="22"/>
          <w:lang w:val="en-GB"/>
        </w:rPr>
      </w:pPr>
    </w:p>
    <w:p w14:paraId="4D614376" w14:textId="4CD58352" w:rsidR="00994528" w:rsidRDefault="00A84109" w:rsidP="00A0405B">
      <w:pPr>
        <w:pStyle w:val="paragraph"/>
        <w:spacing w:before="0" w:after="0"/>
        <w:ind w:right="-47"/>
        <w:jc w:val="both"/>
        <w:rPr>
          <w:rFonts w:asciiTheme="minorBidi" w:hAnsiTheme="minorBidi" w:cstheme="minorBidi"/>
          <w:sz w:val="22"/>
          <w:szCs w:val="22"/>
          <w:lang w:val="en-GB"/>
        </w:rPr>
      </w:pPr>
      <w:r>
        <w:rPr>
          <w:rFonts w:asciiTheme="minorBidi" w:hAnsiTheme="minorBidi" w:cstheme="minorBidi"/>
          <w:sz w:val="22"/>
          <w:szCs w:val="22"/>
          <w:lang w:val="en-GB"/>
        </w:rPr>
        <w:t xml:space="preserve">A query was raised about the suggested changes to the People and Organisational Development Committee as the changes to the </w:t>
      </w:r>
      <w:proofErr w:type="spellStart"/>
      <w:r>
        <w:rPr>
          <w:rFonts w:asciiTheme="minorBidi" w:hAnsiTheme="minorBidi" w:cstheme="minorBidi"/>
          <w:sz w:val="22"/>
          <w:szCs w:val="22"/>
          <w:lang w:val="en-GB"/>
        </w:rPr>
        <w:t>ToR</w:t>
      </w:r>
      <w:proofErr w:type="spellEnd"/>
      <w:r>
        <w:rPr>
          <w:rFonts w:asciiTheme="minorBidi" w:hAnsiTheme="minorBidi" w:cstheme="minorBidi"/>
          <w:sz w:val="22"/>
          <w:szCs w:val="22"/>
          <w:lang w:val="en-GB"/>
        </w:rPr>
        <w:t xml:space="preserve"> had not been agreed by Court. It was agreed that the proposed changes would be reviewed with a proposal put to the Governance Working Group to bring forward to Court.</w:t>
      </w:r>
    </w:p>
    <w:p w14:paraId="67B756F0" w14:textId="77777777" w:rsidR="00A0405B" w:rsidRDefault="00A0405B" w:rsidP="00A0405B">
      <w:pPr>
        <w:pStyle w:val="paragraph"/>
        <w:spacing w:before="0" w:after="0"/>
        <w:ind w:right="-47"/>
        <w:jc w:val="both"/>
        <w:rPr>
          <w:rFonts w:ascii="Arial" w:hAnsi="Arial" w:cs="Arial"/>
          <w:sz w:val="22"/>
          <w:szCs w:val="22"/>
        </w:rPr>
      </w:pPr>
    </w:p>
    <w:p w14:paraId="2F49AFE4" w14:textId="03EDF40F" w:rsidR="00A84109" w:rsidRDefault="002C0502" w:rsidP="00A84109">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p>
    <w:p w14:paraId="5D465CDA" w14:textId="0C1B1586" w:rsidR="00A84109" w:rsidRDefault="00A84109" w:rsidP="00A84109">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CRT/2024/12.6 Remuneration Committee</w:t>
      </w:r>
    </w:p>
    <w:p w14:paraId="121D7910" w14:textId="7597B56D" w:rsidR="00A84109" w:rsidRDefault="00A84109" w:rsidP="00A84109">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Pr>
          <w:rFonts w:asciiTheme="minorBidi" w:hAnsiTheme="minorBidi" w:cstheme="minorBidi"/>
          <w:sz w:val="22"/>
          <w:szCs w:val="22"/>
        </w:rPr>
        <w:t>Kerry Christie</w:t>
      </w:r>
      <w:r w:rsidRPr="00D8135D">
        <w:rPr>
          <w:rFonts w:asciiTheme="minorBidi" w:hAnsiTheme="minorBidi" w:cstheme="minorBidi"/>
          <w:sz w:val="22"/>
          <w:szCs w:val="22"/>
        </w:rPr>
        <w:t xml:space="preserve">, chair of the Committee </w:t>
      </w:r>
      <w:r>
        <w:rPr>
          <w:rFonts w:asciiTheme="minorBidi" w:hAnsiTheme="minorBidi" w:cstheme="minorBidi"/>
          <w:sz w:val="22"/>
          <w:szCs w:val="22"/>
        </w:rPr>
        <w:t>reported</w:t>
      </w:r>
      <w:r>
        <w:t xml:space="preserve"> </w:t>
      </w:r>
      <w:r>
        <w:rPr>
          <w:rFonts w:asciiTheme="minorBidi" w:hAnsiTheme="minorBidi" w:cstheme="minorBidi"/>
          <w:sz w:val="22"/>
          <w:szCs w:val="22"/>
        </w:rPr>
        <w:t>that</w:t>
      </w:r>
      <w:r w:rsidRPr="00A84109">
        <w:rPr>
          <w:rFonts w:asciiTheme="minorBidi" w:hAnsiTheme="minorBidi" w:cstheme="minorBidi"/>
          <w:sz w:val="22"/>
          <w:szCs w:val="22"/>
        </w:rPr>
        <w:t xml:space="preserve"> following the conclusion of the appointment process for the new Principal and Vice</w:t>
      </w:r>
      <w:r w:rsidRPr="00A84109">
        <w:rPr>
          <w:rFonts w:ascii="Cambria Math" w:hAnsi="Cambria Math" w:cs="Cambria Math"/>
          <w:sz w:val="22"/>
          <w:szCs w:val="22"/>
        </w:rPr>
        <w:t>‐</w:t>
      </w:r>
      <w:r w:rsidRPr="00A84109">
        <w:rPr>
          <w:rFonts w:asciiTheme="minorBidi" w:hAnsiTheme="minorBidi" w:cstheme="minorBidi"/>
          <w:sz w:val="22"/>
          <w:szCs w:val="22"/>
        </w:rPr>
        <w:t xml:space="preserve">Chancellor, a recommendation </w:t>
      </w:r>
      <w:r>
        <w:rPr>
          <w:rFonts w:asciiTheme="minorBidi" w:hAnsiTheme="minorBidi" w:cstheme="minorBidi"/>
          <w:sz w:val="22"/>
          <w:szCs w:val="22"/>
        </w:rPr>
        <w:t>had</w:t>
      </w:r>
      <w:r w:rsidRPr="00A84109">
        <w:rPr>
          <w:rFonts w:asciiTheme="minorBidi" w:hAnsiTheme="minorBidi" w:cstheme="minorBidi"/>
          <w:sz w:val="22"/>
          <w:szCs w:val="22"/>
        </w:rPr>
        <w:t xml:space="preserve"> b</w:t>
      </w:r>
      <w:r>
        <w:rPr>
          <w:rFonts w:asciiTheme="minorBidi" w:hAnsiTheme="minorBidi" w:cstheme="minorBidi"/>
          <w:sz w:val="22"/>
          <w:szCs w:val="22"/>
        </w:rPr>
        <w:t>ee</w:t>
      </w:r>
      <w:r w:rsidR="00A0405B">
        <w:rPr>
          <w:rFonts w:asciiTheme="minorBidi" w:hAnsiTheme="minorBidi" w:cstheme="minorBidi"/>
          <w:sz w:val="22"/>
          <w:szCs w:val="22"/>
        </w:rPr>
        <w:t>n</w:t>
      </w:r>
      <w:r w:rsidRPr="00A84109">
        <w:rPr>
          <w:rFonts w:asciiTheme="minorBidi" w:hAnsiTheme="minorBidi" w:cstheme="minorBidi"/>
          <w:sz w:val="22"/>
          <w:szCs w:val="22"/>
        </w:rPr>
        <w:t xml:space="preserve"> put forward </w:t>
      </w:r>
      <w:r w:rsidRPr="00A84109">
        <w:rPr>
          <w:rFonts w:asciiTheme="minorBidi" w:hAnsiTheme="minorBidi" w:cstheme="minorBidi"/>
          <w:sz w:val="22"/>
          <w:szCs w:val="22"/>
        </w:rPr>
        <w:lastRenderedPageBreak/>
        <w:t xml:space="preserve">to the Remuneration Committee in relation to the salary package. The Remuneration Committee </w:t>
      </w:r>
      <w:r w:rsidR="00A0405B">
        <w:rPr>
          <w:rFonts w:asciiTheme="minorBidi" w:hAnsiTheme="minorBidi" w:cstheme="minorBidi"/>
          <w:sz w:val="22"/>
          <w:szCs w:val="22"/>
        </w:rPr>
        <w:t xml:space="preserve">had </w:t>
      </w:r>
      <w:r w:rsidRPr="00A84109">
        <w:rPr>
          <w:rFonts w:asciiTheme="minorBidi" w:hAnsiTheme="minorBidi" w:cstheme="minorBidi"/>
          <w:sz w:val="22"/>
          <w:szCs w:val="22"/>
        </w:rPr>
        <w:t xml:space="preserve">approved the salary proposal. </w:t>
      </w:r>
      <w:r w:rsidR="00A0405B">
        <w:rPr>
          <w:rFonts w:asciiTheme="minorBidi" w:hAnsiTheme="minorBidi" w:cstheme="minorBidi"/>
          <w:sz w:val="22"/>
          <w:szCs w:val="22"/>
        </w:rPr>
        <w:t xml:space="preserve">Court also noted that the </w:t>
      </w:r>
      <w:r w:rsidRPr="00A84109">
        <w:rPr>
          <w:rFonts w:asciiTheme="minorBidi" w:hAnsiTheme="minorBidi" w:cstheme="minorBidi"/>
          <w:sz w:val="22"/>
          <w:szCs w:val="22"/>
        </w:rPr>
        <w:t xml:space="preserve">Remuneration Committee </w:t>
      </w:r>
      <w:r w:rsidR="00A0405B">
        <w:rPr>
          <w:rFonts w:asciiTheme="minorBidi" w:hAnsiTheme="minorBidi" w:cstheme="minorBidi"/>
          <w:sz w:val="22"/>
          <w:szCs w:val="22"/>
        </w:rPr>
        <w:t xml:space="preserve">had </w:t>
      </w:r>
      <w:r w:rsidRPr="00A84109">
        <w:rPr>
          <w:rFonts w:asciiTheme="minorBidi" w:hAnsiTheme="minorBidi" w:cstheme="minorBidi"/>
          <w:sz w:val="22"/>
          <w:szCs w:val="22"/>
        </w:rPr>
        <w:t>also agreed that should the new Vice</w:t>
      </w:r>
      <w:r w:rsidRPr="00A84109">
        <w:rPr>
          <w:rFonts w:ascii="Cambria Math" w:hAnsi="Cambria Math" w:cs="Cambria Math"/>
          <w:sz w:val="22"/>
          <w:szCs w:val="22"/>
        </w:rPr>
        <w:t>‐</w:t>
      </w:r>
      <w:r w:rsidRPr="00A84109">
        <w:rPr>
          <w:rFonts w:asciiTheme="minorBidi" w:hAnsiTheme="minorBidi" w:cstheme="minorBidi"/>
          <w:sz w:val="22"/>
          <w:szCs w:val="22"/>
        </w:rPr>
        <w:t>Chancellor &amp; Principal choose to stay in the Principals Lodgings on campus, a market value for rent would be charged.</w:t>
      </w:r>
    </w:p>
    <w:p w14:paraId="543916DD" w14:textId="3FAB7831" w:rsidR="002C0502" w:rsidRDefault="00A0405B" w:rsidP="00A0405B">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bookmarkEnd w:id="2"/>
    </w:p>
    <w:p w14:paraId="2E88B101" w14:textId="77777777" w:rsidR="00A0405B" w:rsidRDefault="00A0405B" w:rsidP="00A0405B">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p>
    <w:p w14:paraId="2D2F111A" w14:textId="4433B921" w:rsidR="002C0502" w:rsidRPr="00D04EEA" w:rsidRDefault="002C0502" w:rsidP="002C0502">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F27597">
        <w:rPr>
          <w:rFonts w:ascii="Arial" w:eastAsiaTheme="minorEastAsia" w:hAnsi="Arial" w:cs="Arial"/>
          <w:b/>
          <w:bCs/>
          <w:sz w:val="22"/>
          <w:szCs w:val="22"/>
        </w:rPr>
        <w:t>4</w:t>
      </w:r>
      <w:r w:rsidRPr="00D04EEA">
        <w:rPr>
          <w:rFonts w:ascii="Arial" w:eastAsiaTheme="minorEastAsia" w:hAnsi="Arial" w:cs="Arial"/>
          <w:b/>
          <w:bCs/>
          <w:sz w:val="22"/>
          <w:szCs w:val="22"/>
        </w:rPr>
        <w:t>/</w:t>
      </w:r>
      <w:r w:rsidR="00F27597">
        <w:rPr>
          <w:rFonts w:ascii="Arial" w:eastAsiaTheme="minorEastAsia" w:hAnsi="Arial" w:cs="Arial"/>
          <w:b/>
          <w:bCs/>
          <w:sz w:val="22"/>
          <w:szCs w:val="22"/>
        </w:rPr>
        <w:t>13</w:t>
      </w:r>
      <w:r w:rsidRPr="00D04EEA">
        <w:rPr>
          <w:rFonts w:ascii="Arial" w:eastAsiaTheme="minorEastAsia" w:hAnsi="Arial" w:cs="Arial"/>
          <w:b/>
          <w:bCs/>
          <w:sz w:val="22"/>
          <w:szCs w:val="22"/>
        </w:rPr>
        <w:t>. Any Other Business</w:t>
      </w:r>
    </w:p>
    <w:p w14:paraId="01AFCCBE" w14:textId="56583332" w:rsidR="002C0502" w:rsidRPr="00C444AD" w:rsidRDefault="002C0502" w:rsidP="002C0502">
      <w:pPr>
        <w:spacing w:after="120"/>
        <w:ind w:right="-79"/>
        <w:jc w:val="both"/>
        <w:rPr>
          <w:rFonts w:ascii="Arial" w:hAnsi="Arial" w:cs="Arial"/>
          <w:i/>
          <w:iCs/>
          <w:sz w:val="22"/>
          <w:szCs w:val="22"/>
        </w:rPr>
      </w:pPr>
      <w:r w:rsidRPr="00C444AD">
        <w:rPr>
          <w:rFonts w:ascii="Arial" w:hAnsi="Arial" w:cs="Arial"/>
          <w:i/>
          <w:iCs/>
          <w:sz w:val="22"/>
          <w:szCs w:val="22"/>
        </w:rPr>
        <w:t>CRT/202</w:t>
      </w:r>
      <w:r w:rsidR="00F27597">
        <w:rPr>
          <w:rFonts w:ascii="Arial" w:hAnsi="Arial" w:cs="Arial"/>
          <w:i/>
          <w:iCs/>
          <w:sz w:val="22"/>
          <w:szCs w:val="22"/>
        </w:rPr>
        <w:t>4</w:t>
      </w:r>
      <w:r w:rsidRPr="00C444AD">
        <w:rPr>
          <w:rFonts w:ascii="Arial" w:hAnsi="Arial" w:cs="Arial"/>
          <w:i/>
          <w:iCs/>
          <w:sz w:val="22"/>
          <w:szCs w:val="22"/>
        </w:rPr>
        <w:t>/</w:t>
      </w:r>
      <w:r w:rsidR="00F27597">
        <w:rPr>
          <w:rFonts w:ascii="Arial" w:hAnsi="Arial" w:cs="Arial"/>
          <w:i/>
          <w:iCs/>
          <w:sz w:val="22"/>
          <w:szCs w:val="22"/>
        </w:rPr>
        <w:t>13</w:t>
      </w:r>
      <w:r>
        <w:rPr>
          <w:rFonts w:ascii="Arial" w:hAnsi="Arial" w:cs="Arial"/>
          <w:i/>
          <w:iCs/>
          <w:sz w:val="22"/>
          <w:szCs w:val="22"/>
        </w:rPr>
        <w:t>.1 Members of Court</w:t>
      </w:r>
    </w:p>
    <w:p w14:paraId="3F4D9899" w14:textId="021A2260" w:rsidR="002C0502" w:rsidRDefault="002C0502" w:rsidP="00F27597">
      <w:pPr>
        <w:spacing w:after="120"/>
        <w:ind w:right="-79"/>
        <w:jc w:val="both"/>
        <w:rPr>
          <w:rFonts w:ascii="Arial" w:hAnsi="Arial" w:cs="Arial"/>
          <w:sz w:val="22"/>
          <w:szCs w:val="22"/>
        </w:rPr>
      </w:pPr>
      <w:r w:rsidRPr="00C444AD">
        <w:rPr>
          <w:rFonts w:ascii="Arial" w:hAnsi="Arial" w:cs="Arial"/>
          <w:sz w:val="22"/>
          <w:szCs w:val="22"/>
        </w:rPr>
        <w:t xml:space="preserve">Court noted </w:t>
      </w:r>
      <w:r w:rsidRPr="006202C3">
        <w:rPr>
          <w:rFonts w:asciiTheme="minorBidi" w:hAnsiTheme="minorBidi" w:cstheme="minorBidi"/>
          <w:sz w:val="22"/>
          <w:szCs w:val="22"/>
        </w:rPr>
        <w:t xml:space="preserve">thanks to </w:t>
      </w:r>
      <w:r w:rsidR="00F27597">
        <w:rPr>
          <w:rFonts w:asciiTheme="minorBidi" w:hAnsiTheme="minorBidi" w:cstheme="minorBidi"/>
          <w:sz w:val="22"/>
          <w:szCs w:val="22"/>
        </w:rPr>
        <w:t xml:space="preserve">Elspeth Orcharton </w:t>
      </w:r>
      <w:r w:rsidRPr="00A9617B">
        <w:rPr>
          <w:rFonts w:asciiTheme="minorBidi" w:hAnsiTheme="minorBidi" w:cstheme="minorBidi"/>
          <w:sz w:val="22"/>
          <w:szCs w:val="22"/>
        </w:rPr>
        <w:t xml:space="preserve">– </w:t>
      </w:r>
      <w:r>
        <w:rPr>
          <w:rFonts w:asciiTheme="minorBidi" w:hAnsiTheme="minorBidi" w:cstheme="minorBidi"/>
          <w:sz w:val="22"/>
          <w:szCs w:val="22"/>
        </w:rPr>
        <w:t xml:space="preserve">Co-opted member – was attending </w:t>
      </w:r>
      <w:r w:rsidRPr="00A9617B">
        <w:rPr>
          <w:rFonts w:asciiTheme="minorBidi" w:hAnsiTheme="minorBidi" w:cstheme="minorBidi"/>
          <w:sz w:val="22"/>
          <w:szCs w:val="22"/>
        </w:rPr>
        <w:t xml:space="preserve">her last meeting as a Co-opted Member </w:t>
      </w:r>
      <w:r w:rsidRPr="00A9617B">
        <w:rPr>
          <w:rFonts w:asciiTheme="minorBidi" w:hAnsiTheme="minorBidi" w:cstheme="minorBidi"/>
          <w:sz w:val="22"/>
          <w:szCs w:val="22"/>
          <w:lang w:eastAsia="zh-CN"/>
        </w:rPr>
        <w:t>as she would be stepping down in October before the next</w:t>
      </w:r>
      <w:r>
        <w:rPr>
          <w:rFonts w:asciiTheme="minorBidi" w:hAnsiTheme="minorBidi" w:cstheme="minorBidi"/>
          <w:sz w:val="22"/>
          <w:szCs w:val="22"/>
          <w:lang w:eastAsia="zh-CN"/>
        </w:rPr>
        <w:t xml:space="preserve"> </w:t>
      </w:r>
      <w:r w:rsidRPr="00A9617B">
        <w:rPr>
          <w:rFonts w:asciiTheme="minorBidi" w:hAnsiTheme="minorBidi" w:cstheme="minorBidi"/>
          <w:sz w:val="22"/>
          <w:szCs w:val="22"/>
          <w:lang w:eastAsia="zh-CN"/>
        </w:rPr>
        <w:t xml:space="preserve">meeting. </w:t>
      </w:r>
      <w:r w:rsidR="00F27597">
        <w:rPr>
          <w:rFonts w:asciiTheme="minorBidi" w:hAnsiTheme="minorBidi" w:cstheme="minorBidi"/>
          <w:sz w:val="22"/>
          <w:szCs w:val="22"/>
          <w:lang w:eastAsia="zh-CN"/>
        </w:rPr>
        <w:t xml:space="preserve">Elspeth </w:t>
      </w:r>
      <w:r w:rsidRPr="00A9617B">
        <w:rPr>
          <w:rFonts w:asciiTheme="minorBidi" w:hAnsiTheme="minorBidi" w:cstheme="minorBidi"/>
          <w:sz w:val="22"/>
          <w:szCs w:val="22"/>
          <w:lang w:eastAsia="zh-CN"/>
        </w:rPr>
        <w:t>ha</w:t>
      </w:r>
      <w:r>
        <w:rPr>
          <w:rFonts w:asciiTheme="minorBidi" w:hAnsiTheme="minorBidi" w:cstheme="minorBidi"/>
          <w:sz w:val="22"/>
          <w:szCs w:val="22"/>
          <w:lang w:eastAsia="zh-CN"/>
        </w:rPr>
        <w:t>d</w:t>
      </w:r>
      <w:r w:rsidRPr="00A9617B">
        <w:rPr>
          <w:rFonts w:asciiTheme="minorBidi" w:hAnsiTheme="minorBidi" w:cstheme="minorBidi"/>
          <w:sz w:val="22"/>
          <w:szCs w:val="22"/>
          <w:lang w:eastAsia="zh-CN"/>
        </w:rPr>
        <w:t xml:space="preserve"> been a member of Court for 8 years, and of </w:t>
      </w:r>
      <w:r w:rsidR="00F27597">
        <w:rPr>
          <w:rFonts w:asciiTheme="minorBidi" w:hAnsiTheme="minorBidi" w:cstheme="minorBidi"/>
          <w:sz w:val="22"/>
          <w:szCs w:val="22"/>
          <w:lang w:eastAsia="zh-CN"/>
        </w:rPr>
        <w:t xml:space="preserve">Finance </w:t>
      </w:r>
      <w:r w:rsidRPr="00A9617B">
        <w:rPr>
          <w:rFonts w:asciiTheme="minorBidi" w:hAnsiTheme="minorBidi" w:cstheme="minorBidi"/>
          <w:sz w:val="22"/>
          <w:szCs w:val="22"/>
          <w:lang w:eastAsia="zh-CN"/>
        </w:rPr>
        <w:t>Committee and</w:t>
      </w:r>
      <w:r w:rsidR="00F27597">
        <w:rPr>
          <w:rFonts w:asciiTheme="minorBidi" w:hAnsiTheme="minorBidi" w:cstheme="minorBidi"/>
          <w:sz w:val="22"/>
          <w:szCs w:val="22"/>
          <w:lang w:eastAsia="zh-CN"/>
        </w:rPr>
        <w:t xml:space="preserve"> Audit and </w:t>
      </w:r>
      <w:r w:rsidR="00206026">
        <w:rPr>
          <w:rFonts w:asciiTheme="minorBidi" w:hAnsiTheme="minorBidi" w:cstheme="minorBidi"/>
          <w:sz w:val="22"/>
          <w:szCs w:val="22"/>
          <w:lang w:eastAsia="zh-CN"/>
        </w:rPr>
        <w:t>Risk</w:t>
      </w:r>
      <w:r w:rsidR="00206026" w:rsidRPr="00A9617B">
        <w:rPr>
          <w:rFonts w:asciiTheme="minorBidi" w:hAnsiTheme="minorBidi" w:cstheme="minorBidi"/>
          <w:sz w:val="22"/>
          <w:szCs w:val="22"/>
          <w:lang w:eastAsia="zh-CN"/>
        </w:rPr>
        <w:t xml:space="preserve"> </w:t>
      </w:r>
      <w:r w:rsidRPr="00A9617B">
        <w:rPr>
          <w:rFonts w:asciiTheme="minorBidi" w:hAnsiTheme="minorBidi" w:cstheme="minorBidi"/>
          <w:sz w:val="22"/>
          <w:szCs w:val="22"/>
          <w:lang w:eastAsia="zh-CN"/>
        </w:rPr>
        <w:t>Committee</w:t>
      </w:r>
      <w:r w:rsidR="00F27597">
        <w:rPr>
          <w:rFonts w:asciiTheme="minorBidi" w:hAnsiTheme="minorBidi" w:cstheme="minorBidi"/>
          <w:sz w:val="22"/>
          <w:szCs w:val="22"/>
          <w:lang w:eastAsia="zh-CN"/>
        </w:rPr>
        <w:t>, Ward Committee, and the Gift Acceptance Committee</w:t>
      </w:r>
      <w:r w:rsidRPr="00A9617B">
        <w:rPr>
          <w:rFonts w:asciiTheme="minorBidi" w:hAnsiTheme="minorBidi" w:cstheme="minorBidi"/>
          <w:sz w:val="22"/>
          <w:szCs w:val="22"/>
          <w:lang w:eastAsia="zh-CN"/>
        </w:rPr>
        <w:t xml:space="preserve"> including Chairing of the Committees. Over that time, she had made a substantial contribution to the University and was leaving the University in a significantly stronger</w:t>
      </w:r>
      <w:r>
        <w:rPr>
          <w:rFonts w:asciiTheme="minorBidi" w:hAnsiTheme="minorBidi" w:cstheme="minorBidi"/>
          <w:sz w:val="22"/>
          <w:szCs w:val="22"/>
          <w:lang w:eastAsia="zh-CN"/>
        </w:rPr>
        <w:t xml:space="preserve"> </w:t>
      </w:r>
      <w:r w:rsidRPr="00A9617B">
        <w:rPr>
          <w:rFonts w:asciiTheme="minorBidi" w:hAnsiTheme="minorBidi" w:cstheme="minorBidi"/>
          <w:sz w:val="22"/>
          <w:szCs w:val="22"/>
          <w:lang w:eastAsia="zh-CN"/>
        </w:rPr>
        <w:t>position.</w:t>
      </w:r>
      <w:r w:rsidR="00F27597">
        <w:rPr>
          <w:rFonts w:ascii="Arial" w:hAnsi="Arial" w:cs="Arial"/>
          <w:sz w:val="22"/>
          <w:szCs w:val="22"/>
        </w:rPr>
        <w:t xml:space="preserve"> </w:t>
      </w:r>
      <w:r>
        <w:rPr>
          <w:rFonts w:ascii="Arial" w:hAnsi="Arial" w:cs="Arial"/>
          <w:sz w:val="22"/>
          <w:szCs w:val="22"/>
        </w:rPr>
        <w:t>Court recorded its thanks</w:t>
      </w:r>
      <w:r w:rsidR="00F27597">
        <w:rPr>
          <w:rFonts w:ascii="Arial" w:hAnsi="Arial" w:cs="Arial"/>
          <w:sz w:val="22"/>
          <w:szCs w:val="22"/>
        </w:rPr>
        <w:t xml:space="preserve"> to</w:t>
      </w:r>
      <w:r>
        <w:rPr>
          <w:rFonts w:ascii="Arial" w:hAnsi="Arial" w:cs="Arial"/>
          <w:sz w:val="22"/>
          <w:szCs w:val="22"/>
        </w:rPr>
        <w:t xml:space="preserve"> </w:t>
      </w:r>
      <w:r w:rsidR="00F27597">
        <w:rPr>
          <w:rFonts w:ascii="Arial" w:hAnsi="Arial" w:cs="Arial"/>
          <w:sz w:val="22"/>
          <w:szCs w:val="22"/>
        </w:rPr>
        <w:t xml:space="preserve">Elspeth and acknowledged the </w:t>
      </w:r>
      <w:r>
        <w:rPr>
          <w:rFonts w:ascii="Arial" w:hAnsi="Arial" w:cs="Arial"/>
          <w:sz w:val="22"/>
          <w:szCs w:val="22"/>
        </w:rPr>
        <w:t xml:space="preserve">huge contribution and dedication to the University and wished </w:t>
      </w:r>
      <w:r w:rsidR="00F27597">
        <w:rPr>
          <w:rFonts w:ascii="Arial" w:hAnsi="Arial" w:cs="Arial"/>
          <w:sz w:val="22"/>
          <w:szCs w:val="22"/>
        </w:rPr>
        <w:t>her</w:t>
      </w:r>
      <w:r>
        <w:rPr>
          <w:rFonts w:ascii="Arial" w:hAnsi="Arial" w:cs="Arial"/>
          <w:sz w:val="22"/>
          <w:szCs w:val="22"/>
        </w:rPr>
        <w:t xml:space="preserve"> well for the future.</w:t>
      </w:r>
    </w:p>
    <w:p w14:paraId="1EE3FC20" w14:textId="77777777" w:rsidR="002C0502" w:rsidRPr="00ED4F47" w:rsidRDefault="002C0502" w:rsidP="002C0502">
      <w:pPr>
        <w:jc w:val="both"/>
        <w:rPr>
          <w:rFonts w:ascii="Arial" w:hAnsi="Arial" w:cs="Arial"/>
          <w:sz w:val="22"/>
          <w:szCs w:val="22"/>
        </w:rPr>
      </w:pPr>
    </w:p>
    <w:p w14:paraId="2B4C2999" w14:textId="5E7BE2FD" w:rsidR="002C0502" w:rsidRPr="00D04EEA" w:rsidRDefault="002C0502" w:rsidP="002C0502">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F27597">
        <w:rPr>
          <w:rFonts w:ascii="Arial" w:eastAsiaTheme="minorEastAsia" w:hAnsi="Arial" w:cs="Arial"/>
          <w:b/>
          <w:bCs/>
          <w:sz w:val="22"/>
          <w:szCs w:val="22"/>
        </w:rPr>
        <w:t>4</w:t>
      </w:r>
      <w:r w:rsidRPr="00D04EEA">
        <w:rPr>
          <w:rFonts w:ascii="Arial" w:eastAsiaTheme="minorEastAsia" w:hAnsi="Arial" w:cs="Arial"/>
          <w:b/>
          <w:bCs/>
          <w:sz w:val="22"/>
          <w:szCs w:val="22"/>
        </w:rPr>
        <w:t>/</w:t>
      </w:r>
      <w:r w:rsidR="00F27597">
        <w:rPr>
          <w:rFonts w:ascii="Arial" w:eastAsiaTheme="minorEastAsia" w:hAnsi="Arial" w:cs="Arial"/>
          <w:b/>
          <w:bCs/>
          <w:sz w:val="22"/>
          <w:szCs w:val="22"/>
        </w:rPr>
        <w:t>14</w:t>
      </w:r>
      <w:r w:rsidRPr="00D04EEA">
        <w:rPr>
          <w:rFonts w:ascii="Arial" w:eastAsiaTheme="minorEastAsia" w:hAnsi="Arial" w:cs="Arial"/>
          <w:b/>
          <w:bCs/>
          <w:sz w:val="22"/>
          <w:szCs w:val="22"/>
        </w:rPr>
        <w:t xml:space="preserve">. Date of Next Meeting </w:t>
      </w:r>
    </w:p>
    <w:p w14:paraId="341745A3" w14:textId="319854B1" w:rsidR="002C0502" w:rsidRPr="00B86A9B" w:rsidRDefault="002C0502" w:rsidP="00F27597">
      <w:pPr>
        <w:spacing w:after="240"/>
        <w:ind w:right="-79"/>
        <w:jc w:val="both"/>
        <w:rPr>
          <w:rFonts w:ascii="Arial" w:eastAsiaTheme="minorEastAsia" w:hAnsi="Arial" w:cs="Arial"/>
          <w:sz w:val="22"/>
          <w:szCs w:val="22"/>
        </w:rPr>
      </w:pPr>
      <w:r w:rsidRPr="00D04EEA">
        <w:rPr>
          <w:rFonts w:ascii="Arial" w:eastAsiaTheme="minorEastAsia" w:hAnsi="Arial" w:cs="Arial"/>
          <w:sz w:val="22"/>
          <w:szCs w:val="22"/>
        </w:rPr>
        <w:t>The next meeting of Court w</w:t>
      </w:r>
      <w:r>
        <w:rPr>
          <w:rFonts w:ascii="Arial" w:eastAsiaTheme="minorEastAsia" w:hAnsi="Arial" w:cs="Arial"/>
          <w:sz w:val="22"/>
          <w:szCs w:val="22"/>
        </w:rPr>
        <w:t>ould</w:t>
      </w:r>
      <w:r w:rsidRPr="00D04EEA">
        <w:rPr>
          <w:rFonts w:ascii="Arial" w:eastAsiaTheme="minorEastAsia" w:hAnsi="Arial" w:cs="Arial"/>
          <w:sz w:val="22"/>
          <w:szCs w:val="22"/>
        </w:rPr>
        <w:t xml:space="preserve"> be held on Wednesda</w:t>
      </w:r>
      <w:r>
        <w:rPr>
          <w:rFonts w:ascii="Arial" w:eastAsiaTheme="minorEastAsia" w:hAnsi="Arial" w:cs="Arial"/>
          <w:sz w:val="22"/>
          <w:szCs w:val="22"/>
        </w:rPr>
        <w:t>y</w:t>
      </w:r>
      <w:r w:rsidRPr="00D04EEA">
        <w:rPr>
          <w:rFonts w:ascii="Arial" w:eastAsiaTheme="minorEastAsia" w:hAnsi="Arial" w:cs="Arial"/>
          <w:sz w:val="22"/>
          <w:szCs w:val="22"/>
        </w:rPr>
        <w:t xml:space="preserve"> </w:t>
      </w:r>
      <w:r>
        <w:rPr>
          <w:rFonts w:ascii="Arial" w:eastAsiaTheme="minorEastAsia" w:hAnsi="Arial" w:cs="Arial"/>
          <w:sz w:val="22"/>
          <w:szCs w:val="22"/>
        </w:rPr>
        <w:t>2</w:t>
      </w:r>
      <w:r w:rsidR="00F27597">
        <w:rPr>
          <w:rFonts w:ascii="Arial" w:eastAsiaTheme="minorEastAsia" w:hAnsi="Arial" w:cs="Arial"/>
          <w:sz w:val="22"/>
          <w:szCs w:val="22"/>
        </w:rPr>
        <w:t>0</w:t>
      </w:r>
      <w:r>
        <w:rPr>
          <w:rFonts w:ascii="Arial" w:eastAsiaTheme="minorEastAsia" w:hAnsi="Arial" w:cs="Arial"/>
          <w:sz w:val="22"/>
          <w:szCs w:val="22"/>
        </w:rPr>
        <w:t xml:space="preserve"> November 202</w:t>
      </w:r>
      <w:r w:rsidR="00F27597">
        <w:rPr>
          <w:rFonts w:ascii="Arial" w:eastAsiaTheme="minorEastAsia" w:hAnsi="Arial" w:cs="Arial"/>
          <w:sz w:val="22"/>
          <w:szCs w:val="22"/>
        </w:rPr>
        <w:t>4</w:t>
      </w:r>
      <w:r>
        <w:rPr>
          <w:rFonts w:ascii="Arial" w:eastAsiaTheme="minorEastAsia" w:hAnsi="Arial" w:cs="Arial"/>
          <w:sz w:val="22"/>
          <w:szCs w:val="22"/>
        </w:rPr>
        <w:t xml:space="preserve"> at </w:t>
      </w:r>
      <w:r w:rsidR="00F27597">
        <w:rPr>
          <w:rFonts w:ascii="Arial" w:eastAsiaTheme="minorEastAsia" w:hAnsi="Arial" w:cs="Arial"/>
          <w:sz w:val="22"/>
          <w:szCs w:val="22"/>
        </w:rPr>
        <w:t>1.45</w:t>
      </w:r>
      <w:r>
        <w:rPr>
          <w:rFonts w:ascii="Arial" w:eastAsiaTheme="minorEastAsia" w:hAnsi="Arial" w:cs="Arial"/>
          <w:sz w:val="22"/>
          <w:szCs w:val="22"/>
        </w:rPr>
        <w:t>pm. A Pre-Court briefing would take place at 12pm</w:t>
      </w:r>
      <w:r w:rsidR="00F27597">
        <w:rPr>
          <w:rFonts w:ascii="Arial" w:eastAsiaTheme="minorEastAsia" w:hAnsi="Arial" w:cs="Arial"/>
          <w:sz w:val="22"/>
          <w:szCs w:val="22"/>
        </w:rPr>
        <w:t xml:space="preserve"> on the NSS Results.</w:t>
      </w:r>
    </w:p>
    <w:p w14:paraId="266D5D07" w14:textId="77777777" w:rsidR="002C0502" w:rsidRPr="000F7A9D" w:rsidRDefault="002C0502" w:rsidP="00273726">
      <w:pPr>
        <w:spacing w:after="240"/>
        <w:ind w:right="-79"/>
        <w:jc w:val="both"/>
        <w:rPr>
          <w:rFonts w:ascii="Arial" w:eastAsiaTheme="minorEastAsia" w:hAnsi="Arial" w:cs="Arial"/>
          <w:i/>
          <w:iCs/>
          <w:color w:val="FF0000"/>
          <w:sz w:val="22"/>
          <w:szCs w:val="22"/>
        </w:rPr>
      </w:pPr>
    </w:p>
    <w:sectPr w:rsidR="002C0502" w:rsidRPr="000F7A9D">
      <w:headerReference w:type="even" r:id="rId8"/>
      <w:headerReference w:type="default" r:id="rId9"/>
      <w:footerReference w:type="even" r:id="rId10"/>
      <w:footerReference w:type="default" r:id="rId11"/>
      <w:headerReference w:type="first" r:id="rId12"/>
      <w:footerReference w:type="first" r:id="rId13"/>
      <w:pgSz w:w="11905" w:h="16838"/>
      <w:pgMar w:top="1418" w:right="1440" w:bottom="1440" w:left="1440"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84771" w14:textId="77777777" w:rsidR="00540713" w:rsidRDefault="00540713">
      <w:r>
        <w:separator/>
      </w:r>
    </w:p>
  </w:endnote>
  <w:endnote w:type="continuationSeparator" w:id="0">
    <w:p w14:paraId="79D62A89" w14:textId="77777777" w:rsidR="00540713" w:rsidRDefault="0054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AAF4" w14:textId="77777777" w:rsidR="004B3066" w:rsidRDefault="004B3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7D12" w14:textId="77777777" w:rsidR="00A03A2C" w:rsidRDefault="00A03A2C">
    <w:pPr>
      <w:pStyle w:val="Footer"/>
      <w:jc w:val="right"/>
    </w:pPr>
    <w:r>
      <w:fldChar w:fldCharType="begin"/>
    </w:r>
    <w:r>
      <w:instrText xml:space="preserve"> PAGE   \* MERGEFORMAT </w:instrText>
    </w:r>
    <w:r>
      <w:fldChar w:fldCharType="separate"/>
    </w:r>
    <w:r>
      <w:rPr>
        <w:noProof/>
      </w:rPr>
      <w:t>15</w:t>
    </w:r>
    <w:r>
      <w:fldChar w:fldCharType="end"/>
    </w:r>
  </w:p>
  <w:p w14:paraId="0218C487" w14:textId="77777777" w:rsidR="00A03A2C" w:rsidRPr="000049D3" w:rsidRDefault="00A03A2C">
    <w:pPr>
      <w:tabs>
        <w:tab w:val="center" w:pos="4152"/>
        <w:tab w:val="right" w:pos="8305"/>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53867" w14:textId="77777777" w:rsidR="004B3066" w:rsidRDefault="004B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0C6D" w14:textId="77777777" w:rsidR="00540713" w:rsidRDefault="00540713">
      <w:r>
        <w:separator/>
      </w:r>
    </w:p>
  </w:footnote>
  <w:footnote w:type="continuationSeparator" w:id="0">
    <w:p w14:paraId="6E653653" w14:textId="77777777" w:rsidR="00540713" w:rsidRDefault="0054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F6FA" w14:textId="77777777" w:rsidR="004B3066" w:rsidRDefault="004B3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F5FA" w14:textId="6CEE45A2" w:rsidR="00A03A2C" w:rsidRPr="00D04EEA" w:rsidRDefault="00A03A2C">
    <w:pPr>
      <w:tabs>
        <w:tab w:val="center" w:pos="4152"/>
        <w:tab w:val="right" w:pos="8305"/>
      </w:tabs>
      <w:jc w:val="center"/>
      <w:rPr>
        <w:rFonts w:ascii="Arial" w:hAnsi="Arial" w:cs="Arial"/>
        <w:kern w:val="0"/>
      </w:rPr>
    </w:pPr>
    <w:r w:rsidRPr="00D04EEA">
      <w:rPr>
        <w:rFonts w:ascii="Arial" w:hAnsi="Arial" w:cs="Arial"/>
        <w:kern w:val="0"/>
      </w:rPr>
      <w:t xml:space="preserve">Court </w:t>
    </w:r>
    <w:r w:rsidR="002C0502">
      <w:rPr>
        <w:rFonts w:ascii="Arial" w:hAnsi="Arial" w:cs="Arial"/>
        <w:kern w:val="0"/>
      </w:rPr>
      <w:t>Wednesday</w:t>
    </w:r>
    <w:r w:rsidR="00E6640B">
      <w:rPr>
        <w:rFonts w:ascii="Arial" w:hAnsi="Arial" w:cs="Arial"/>
        <w:kern w:val="0"/>
      </w:rPr>
      <w:t xml:space="preserve"> </w:t>
    </w:r>
    <w:r w:rsidR="002C0502">
      <w:rPr>
        <w:rFonts w:ascii="Arial" w:hAnsi="Arial" w:cs="Arial"/>
        <w:kern w:val="0"/>
      </w:rPr>
      <w:t>25</w:t>
    </w:r>
    <w:r w:rsidR="00E6640B">
      <w:rPr>
        <w:rFonts w:ascii="Arial" w:hAnsi="Arial" w:cs="Arial"/>
        <w:kern w:val="0"/>
      </w:rPr>
      <w:t xml:space="preserve"> September 2024</w:t>
    </w:r>
  </w:p>
  <w:p w14:paraId="6E0F800A" w14:textId="77777777" w:rsidR="00A03A2C" w:rsidRPr="000049D3" w:rsidRDefault="00A03A2C">
    <w:pPr>
      <w:tabs>
        <w:tab w:val="center" w:pos="4152"/>
        <w:tab w:val="right" w:pos="8305"/>
      </w:tabs>
      <w:jc w:val="center"/>
      <w:rPr>
        <w:kern w:val="0"/>
      </w:rPr>
    </w:pPr>
  </w:p>
  <w:p w14:paraId="63AFE229" w14:textId="77777777" w:rsidR="00A03A2C" w:rsidRPr="000049D3" w:rsidRDefault="00A03A2C">
    <w:pPr>
      <w:tabs>
        <w:tab w:val="center" w:pos="4152"/>
        <w:tab w:val="right" w:pos="8305"/>
      </w:tabs>
      <w:jc w:val="center"/>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CCDA" w14:textId="6CD1E3B6" w:rsidR="00A03A2C" w:rsidRPr="00D122C6" w:rsidRDefault="004B3066" w:rsidP="0045458D">
    <w:pPr>
      <w:pStyle w:val="Header"/>
      <w:jc w:val="right"/>
      <w:rPr>
        <w:rFonts w:asciiTheme="minorBidi" w:hAnsiTheme="minorBidi" w:cstheme="minorBidi"/>
        <w:b/>
        <w:bCs/>
        <w:sz w:val="22"/>
        <w:szCs w:val="22"/>
      </w:rPr>
    </w:pPr>
    <w:r>
      <w:rPr>
        <w:rFonts w:asciiTheme="minorBidi" w:hAnsiTheme="minorBidi" w:cstheme="minorBidi"/>
        <w:b/>
        <w:bCs/>
        <w:sz w:val="22"/>
        <w:szCs w:val="22"/>
      </w:rPr>
      <w:t xml:space="preserve">Web </w:t>
    </w:r>
    <w:r>
      <w:rPr>
        <w:rFonts w:asciiTheme="minorBidi" w:hAnsiTheme="minorBidi" w:cstheme="minorBidi"/>
        <w:b/>
        <w:bCs/>
        <w:sz w:val="22"/>
        <w:szCs w:val="22"/>
      </w:rPr>
      <w:t>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405"/>
    <w:multiLevelType w:val="hybridMultilevel"/>
    <w:tmpl w:val="98E0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03B6"/>
    <w:multiLevelType w:val="hybridMultilevel"/>
    <w:tmpl w:val="3FC82A5A"/>
    <w:numStyleLink w:val="ImportedStyle1"/>
  </w:abstractNum>
  <w:abstractNum w:abstractNumId="2" w15:restartNumberingAfterBreak="0">
    <w:nsid w:val="030875BC"/>
    <w:multiLevelType w:val="hybridMultilevel"/>
    <w:tmpl w:val="D92E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836E0"/>
    <w:multiLevelType w:val="hybridMultilevel"/>
    <w:tmpl w:val="DE60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96F91"/>
    <w:multiLevelType w:val="hybridMultilevel"/>
    <w:tmpl w:val="D55E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41919"/>
    <w:multiLevelType w:val="hybridMultilevel"/>
    <w:tmpl w:val="03648F8A"/>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8294B"/>
    <w:multiLevelType w:val="hybridMultilevel"/>
    <w:tmpl w:val="9F8C554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86330"/>
    <w:multiLevelType w:val="hybridMultilevel"/>
    <w:tmpl w:val="EA9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36E0E"/>
    <w:multiLevelType w:val="hybridMultilevel"/>
    <w:tmpl w:val="CBA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81A32"/>
    <w:multiLevelType w:val="hybridMultilevel"/>
    <w:tmpl w:val="6C36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9381E"/>
    <w:multiLevelType w:val="hybridMultilevel"/>
    <w:tmpl w:val="196805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257BAC"/>
    <w:multiLevelType w:val="hybridMultilevel"/>
    <w:tmpl w:val="6EB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CA3F3D"/>
    <w:multiLevelType w:val="hybridMultilevel"/>
    <w:tmpl w:val="7314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D48D0"/>
    <w:multiLevelType w:val="multilevel"/>
    <w:tmpl w:val="6FF20918"/>
    <w:lvl w:ilvl="0">
      <w:start w:val="5"/>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4" w15:restartNumberingAfterBreak="0">
    <w:nsid w:val="1F19471E"/>
    <w:multiLevelType w:val="hybridMultilevel"/>
    <w:tmpl w:val="CAA241CA"/>
    <w:lvl w:ilvl="0" w:tplc="5C62797E">
      <w:start w:val="1"/>
      <w:numFmt w:val="decimal"/>
      <w:pStyle w:val="Heading1"/>
      <w:lvlText w:val="%1."/>
      <w:lvlJc w:val="left"/>
      <w:pPr>
        <w:ind w:left="277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1C37068"/>
    <w:multiLevelType w:val="hybridMultilevel"/>
    <w:tmpl w:val="3FC82A5A"/>
    <w:styleLink w:val="ImportedStyle1"/>
    <w:lvl w:ilvl="0" w:tplc="0D28F7B8">
      <w:start w:val="1"/>
      <w:numFmt w:val="bullet"/>
      <w:lvlText w:val="·"/>
      <w:lvlJc w:val="left"/>
      <w:pPr>
        <w:tabs>
          <w:tab w:val="left" w:pos="720"/>
        </w:tabs>
        <w:ind w:left="113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272F3FC">
      <w:start w:val="1"/>
      <w:numFmt w:val="bullet"/>
      <w:lvlText w:val="·"/>
      <w:lvlJc w:val="left"/>
      <w:pPr>
        <w:tabs>
          <w:tab w:val="left" w:pos="720"/>
        </w:tabs>
        <w:ind w:left="185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F0E1CA2">
      <w:start w:val="1"/>
      <w:numFmt w:val="bullet"/>
      <w:lvlText w:val="·"/>
      <w:lvlJc w:val="left"/>
      <w:pPr>
        <w:tabs>
          <w:tab w:val="left" w:pos="720"/>
        </w:tabs>
        <w:ind w:left="257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BB565610">
      <w:start w:val="1"/>
      <w:numFmt w:val="bullet"/>
      <w:lvlText w:val="·"/>
      <w:lvlJc w:val="left"/>
      <w:pPr>
        <w:tabs>
          <w:tab w:val="left" w:pos="720"/>
        </w:tabs>
        <w:ind w:left="329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158B2DE">
      <w:start w:val="1"/>
      <w:numFmt w:val="bullet"/>
      <w:lvlText w:val="·"/>
      <w:lvlJc w:val="left"/>
      <w:pPr>
        <w:tabs>
          <w:tab w:val="left" w:pos="720"/>
        </w:tabs>
        <w:ind w:left="401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4DCEB18">
      <w:start w:val="1"/>
      <w:numFmt w:val="bullet"/>
      <w:lvlText w:val="·"/>
      <w:lvlJc w:val="left"/>
      <w:pPr>
        <w:tabs>
          <w:tab w:val="left" w:pos="720"/>
        </w:tabs>
        <w:ind w:left="473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5E4D722">
      <w:start w:val="1"/>
      <w:numFmt w:val="bullet"/>
      <w:lvlText w:val="·"/>
      <w:lvlJc w:val="left"/>
      <w:pPr>
        <w:tabs>
          <w:tab w:val="left" w:pos="720"/>
        </w:tabs>
        <w:ind w:left="545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CE088F2">
      <w:start w:val="1"/>
      <w:numFmt w:val="bullet"/>
      <w:lvlText w:val="·"/>
      <w:lvlJc w:val="left"/>
      <w:pPr>
        <w:tabs>
          <w:tab w:val="left" w:pos="720"/>
        </w:tabs>
        <w:ind w:left="617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286E83F4">
      <w:start w:val="1"/>
      <w:numFmt w:val="bullet"/>
      <w:lvlText w:val="·"/>
      <w:lvlJc w:val="left"/>
      <w:pPr>
        <w:tabs>
          <w:tab w:val="left" w:pos="720"/>
        </w:tabs>
        <w:ind w:left="689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 w15:restartNumberingAfterBreak="0">
    <w:nsid w:val="237B57A5"/>
    <w:multiLevelType w:val="hybridMultilevel"/>
    <w:tmpl w:val="14CA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414A1"/>
    <w:multiLevelType w:val="singleLevel"/>
    <w:tmpl w:val="77C8A1B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C1689A"/>
    <w:multiLevelType w:val="hybridMultilevel"/>
    <w:tmpl w:val="4810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F3063"/>
    <w:multiLevelType w:val="hybridMultilevel"/>
    <w:tmpl w:val="2BA6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A250B"/>
    <w:multiLevelType w:val="hybridMultilevel"/>
    <w:tmpl w:val="C9240F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6644607"/>
    <w:multiLevelType w:val="hybridMultilevel"/>
    <w:tmpl w:val="6B065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966428"/>
    <w:multiLevelType w:val="hybridMultilevel"/>
    <w:tmpl w:val="62F6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80DCA"/>
    <w:multiLevelType w:val="hybridMultilevel"/>
    <w:tmpl w:val="49F4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0E0144"/>
    <w:multiLevelType w:val="hybridMultilevel"/>
    <w:tmpl w:val="8F88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E1421"/>
    <w:multiLevelType w:val="hybridMultilevel"/>
    <w:tmpl w:val="DF7C3D5E"/>
    <w:lvl w:ilvl="0" w:tplc="9948EA16">
      <w:start w:val="1"/>
      <w:numFmt w:val="bullet"/>
      <w:lvlText w:val=""/>
      <w:lvlJc w:val="left"/>
      <w:pPr>
        <w:ind w:left="454" w:hanging="9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6A2208"/>
    <w:multiLevelType w:val="hybridMultilevel"/>
    <w:tmpl w:val="65D0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70CDA"/>
    <w:multiLevelType w:val="hybridMultilevel"/>
    <w:tmpl w:val="770C7D1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867B1"/>
    <w:multiLevelType w:val="hybridMultilevel"/>
    <w:tmpl w:val="8FB6DAFE"/>
    <w:lvl w:ilvl="0" w:tplc="5E8CAB52">
      <w:start w:val="1"/>
      <w:numFmt w:val="bullet"/>
      <w:lvlText w:val="­"/>
      <w:lvlJc w:val="left"/>
      <w:pPr>
        <w:ind w:left="1854" w:hanging="360"/>
      </w:pPr>
      <w:rPr>
        <w:rFonts w:ascii="Courier New" w:hAnsi="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44F9495D"/>
    <w:multiLevelType w:val="hybridMultilevel"/>
    <w:tmpl w:val="57D4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B2FD4"/>
    <w:multiLevelType w:val="hybridMultilevel"/>
    <w:tmpl w:val="9552F70E"/>
    <w:lvl w:ilvl="0" w:tplc="7ABE4EB2">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7435D2"/>
    <w:multiLevelType w:val="hybridMultilevel"/>
    <w:tmpl w:val="3038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45192"/>
    <w:multiLevelType w:val="hybridMultilevel"/>
    <w:tmpl w:val="363E6DC8"/>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3" w15:restartNumberingAfterBreak="0">
    <w:nsid w:val="54FF761D"/>
    <w:multiLevelType w:val="multilevel"/>
    <w:tmpl w:val="EEBC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96A746F"/>
    <w:multiLevelType w:val="hybridMultilevel"/>
    <w:tmpl w:val="0AC0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D3FFF"/>
    <w:multiLevelType w:val="hybridMultilevel"/>
    <w:tmpl w:val="B82E3E9A"/>
    <w:lvl w:ilvl="0" w:tplc="E6888D2E">
      <w:start w:val="1"/>
      <w:numFmt w:val="bullet"/>
      <w:lvlText w:val="•"/>
      <w:lvlJc w:val="left"/>
      <w:pPr>
        <w:tabs>
          <w:tab w:val="num" w:pos="720"/>
        </w:tabs>
        <w:ind w:left="720" w:hanging="360"/>
      </w:pPr>
      <w:rPr>
        <w:rFonts w:ascii="Arial" w:hAnsi="Arial" w:hint="default"/>
      </w:rPr>
    </w:lvl>
    <w:lvl w:ilvl="1" w:tplc="A96E921C" w:tentative="1">
      <w:start w:val="1"/>
      <w:numFmt w:val="bullet"/>
      <w:lvlText w:val="•"/>
      <w:lvlJc w:val="left"/>
      <w:pPr>
        <w:tabs>
          <w:tab w:val="num" w:pos="1440"/>
        </w:tabs>
        <w:ind w:left="1440" w:hanging="360"/>
      </w:pPr>
      <w:rPr>
        <w:rFonts w:ascii="Arial" w:hAnsi="Arial" w:hint="default"/>
      </w:rPr>
    </w:lvl>
    <w:lvl w:ilvl="2" w:tplc="A5120CF4" w:tentative="1">
      <w:start w:val="1"/>
      <w:numFmt w:val="bullet"/>
      <w:lvlText w:val="•"/>
      <w:lvlJc w:val="left"/>
      <w:pPr>
        <w:tabs>
          <w:tab w:val="num" w:pos="2160"/>
        </w:tabs>
        <w:ind w:left="2160" w:hanging="360"/>
      </w:pPr>
      <w:rPr>
        <w:rFonts w:ascii="Arial" w:hAnsi="Arial" w:hint="default"/>
      </w:rPr>
    </w:lvl>
    <w:lvl w:ilvl="3" w:tplc="5F1C4E6E" w:tentative="1">
      <w:start w:val="1"/>
      <w:numFmt w:val="bullet"/>
      <w:lvlText w:val="•"/>
      <w:lvlJc w:val="left"/>
      <w:pPr>
        <w:tabs>
          <w:tab w:val="num" w:pos="2880"/>
        </w:tabs>
        <w:ind w:left="2880" w:hanging="360"/>
      </w:pPr>
      <w:rPr>
        <w:rFonts w:ascii="Arial" w:hAnsi="Arial" w:hint="default"/>
      </w:rPr>
    </w:lvl>
    <w:lvl w:ilvl="4" w:tplc="5DB669EE" w:tentative="1">
      <w:start w:val="1"/>
      <w:numFmt w:val="bullet"/>
      <w:lvlText w:val="•"/>
      <w:lvlJc w:val="left"/>
      <w:pPr>
        <w:tabs>
          <w:tab w:val="num" w:pos="3600"/>
        </w:tabs>
        <w:ind w:left="3600" w:hanging="360"/>
      </w:pPr>
      <w:rPr>
        <w:rFonts w:ascii="Arial" w:hAnsi="Arial" w:hint="default"/>
      </w:rPr>
    </w:lvl>
    <w:lvl w:ilvl="5" w:tplc="4E78A60E" w:tentative="1">
      <w:start w:val="1"/>
      <w:numFmt w:val="bullet"/>
      <w:lvlText w:val="•"/>
      <w:lvlJc w:val="left"/>
      <w:pPr>
        <w:tabs>
          <w:tab w:val="num" w:pos="4320"/>
        </w:tabs>
        <w:ind w:left="4320" w:hanging="360"/>
      </w:pPr>
      <w:rPr>
        <w:rFonts w:ascii="Arial" w:hAnsi="Arial" w:hint="default"/>
      </w:rPr>
    </w:lvl>
    <w:lvl w:ilvl="6" w:tplc="E56AB4A4" w:tentative="1">
      <w:start w:val="1"/>
      <w:numFmt w:val="bullet"/>
      <w:lvlText w:val="•"/>
      <w:lvlJc w:val="left"/>
      <w:pPr>
        <w:tabs>
          <w:tab w:val="num" w:pos="5040"/>
        </w:tabs>
        <w:ind w:left="5040" w:hanging="360"/>
      </w:pPr>
      <w:rPr>
        <w:rFonts w:ascii="Arial" w:hAnsi="Arial" w:hint="default"/>
      </w:rPr>
    </w:lvl>
    <w:lvl w:ilvl="7" w:tplc="843EBA06" w:tentative="1">
      <w:start w:val="1"/>
      <w:numFmt w:val="bullet"/>
      <w:lvlText w:val="•"/>
      <w:lvlJc w:val="left"/>
      <w:pPr>
        <w:tabs>
          <w:tab w:val="num" w:pos="5760"/>
        </w:tabs>
        <w:ind w:left="5760" w:hanging="360"/>
      </w:pPr>
      <w:rPr>
        <w:rFonts w:ascii="Arial" w:hAnsi="Arial" w:hint="default"/>
      </w:rPr>
    </w:lvl>
    <w:lvl w:ilvl="8" w:tplc="23283F6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D54B6A"/>
    <w:multiLevelType w:val="hybridMultilevel"/>
    <w:tmpl w:val="DCBA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E11ADB"/>
    <w:multiLevelType w:val="hybridMultilevel"/>
    <w:tmpl w:val="5296D33A"/>
    <w:lvl w:ilvl="0" w:tplc="E32A672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6BA55761"/>
    <w:multiLevelType w:val="hybridMultilevel"/>
    <w:tmpl w:val="CFC687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C262B74"/>
    <w:multiLevelType w:val="hybridMultilevel"/>
    <w:tmpl w:val="6BD6523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0" w15:restartNumberingAfterBreak="0">
    <w:nsid w:val="6E7A0D05"/>
    <w:multiLevelType w:val="hybridMultilevel"/>
    <w:tmpl w:val="6A3869BA"/>
    <w:lvl w:ilvl="0" w:tplc="933610D0">
      <w:start w:val="1"/>
      <w:numFmt w:val="bullet"/>
      <w:pStyle w:val="BullList"/>
      <w:lvlText w:val="•"/>
      <w:lvlJc w:val="left"/>
      <w:pPr>
        <w:tabs>
          <w:tab w:val="num" w:pos="720"/>
        </w:tabs>
        <w:ind w:left="720" w:hanging="360"/>
      </w:pPr>
      <w:rPr>
        <w:rFonts w:ascii="Arial" w:hAnsi="Arial" w:hint="default"/>
      </w:rPr>
    </w:lvl>
    <w:lvl w:ilvl="1" w:tplc="38486FBE" w:tentative="1">
      <w:start w:val="1"/>
      <w:numFmt w:val="bullet"/>
      <w:lvlText w:val="•"/>
      <w:lvlJc w:val="left"/>
      <w:pPr>
        <w:tabs>
          <w:tab w:val="num" w:pos="1440"/>
        </w:tabs>
        <w:ind w:left="1440" w:hanging="360"/>
      </w:pPr>
      <w:rPr>
        <w:rFonts w:ascii="Arial" w:hAnsi="Arial" w:hint="default"/>
      </w:rPr>
    </w:lvl>
    <w:lvl w:ilvl="2" w:tplc="5B9CE980" w:tentative="1">
      <w:start w:val="1"/>
      <w:numFmt w:val="bullet"/>
      <w:lvlText w:val="•"/>
      <w:lvlJc w:val="left"/>
      <w:pPr>
        <w:tabs>
          <w:tab w:val="num" w:pos="2160"/>
        </w:tabs>
        <w:ind w:left="2160" w:hanging="360"/>
      </w:pPr>
      <w:rPr>
        <w:rFonts w:ascii="Arial" w:hAnsi="Arial" w:hint="default"/>
      </w:rPr>
    </w:lvl>
    <w:lvl w:ilvl="3" w:tplc="6C7A0F96" w:tentative="1">
      <w:start w:val="1"/>
      <w:numFmt w:val="bullet"/>
      <w:lvlText w:val="•"/>
      <w:lvlJc w:val="left"/>
      <w:pPr>
        <w:tabs>
          <w:tab w:val="num" w:pos="2880"/>
        </w:tabs>
        <w:ind w:left="2880" w:hanging="360"/>
      </w:pPr>
      <w:rPr>
        <w:rFonts w:ascii="Arial" w:hAnsi="Arial" w:hint="default"/>
      </w:rPr>
    </w:lvl>
    <w:lvl w:ilvl="4" w:tplc="705AA106" w:tentative="1">
      <w:start w:val="1"/>
      <w:numFmt w:val="bullet"/>
      <w:lvlText w:val="•"/>
      <w:lvlJc w:val="left"/>
      <w:pPr>
        <w:tabs>
          <w:tab w:val="num" w:pos="3600"/>
        </w:tabs>
        <w:ind w:left="3600" w:hanging="360"/>
      </w:pPr>
      <w:rPr>
        <w:rFonts w:ascii="Arial" w:hAnsi="Arial" w:hint="default"/>
      </w:rPr>
    </w:lvl>
    <w:lvl w:ilvl="5" w:tplc="E0EE9C7E" w:tentative="1">
      <w:start w:val="1"/>
      <w:numFmt w:val="bullet"/>
      <w:lvlText w:val="•"/>
      <w:lvlJc w:val="left"/>
      <w:pPr>
        <w:tabs>
          <w:tab w:val="num" w:pos="4320"/>
        </w:tabs>
        <w:ind w:left="4320" w:hanging="360"/>
      </w:pPr>
      <w:rPr>
        <w:rFonts w:ascii="Arial" w:hAnsi="Arial" w:hint="default"/>
      </w:rPr>
    </w:lvl>
    <w:lvl w:ilvl="6" w:tplc="028897D4" w:tentative="1">
      <w:start w:val="1"/>
      <w:numFmt w:val="bullet"/>
      <w:lvlText w:val="•"/>
      <w:lvlJc w:val="left"/>
      <w:pPr>
        <w:tabs>
          <w:tab w:val="num" w:pos="5040"/>
        </w:tabs>
        <w:ind w:left="5040" w:hanging="360"/>
      </w:pPr>
      <w:rPr>
        <w:rFonts w:ascii="Arial" w:hAnsi="Arial" w:hint="default"/>
      </w:rPr>
    </w:lvl>
    <w:lvl w:ilvl="7" w:tplc="4CE8DA06" w:tentative="1">
      <w:start w:val="1"/>
      <w:numFmt w:val="bullet"/>
      <w:lvlText w:val="•"/>
      <w:lvlJc w:val="left"/>
      <w:pPr>
        <w:tabs>
          <w:tab w:val="num" w:pos="5760"/>
        </w:tabs>
        <w:ind w:left="5760" w:hanging="360"/>
      </w:pPr>
      <w:rPr>
        <w:rFonts w:ascii="Arial" w:hAnsi="Arial" w:hint="default"/>
      </w:rPr>
    </w:lvl>
    <w:lvl w:ilvl="8" w:tplc="A4C0EFC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5D0722"/>
    <w:multiLevelType w:val="hybridMultilevel"/>
    <w:tmpl w:val="9C3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D6326"/>
    <w:multiLevelType w:val="hybridMultilevel"/>
    <w:tmpl w:val="C418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01608"/>
    <w:multiLevelType w:val="hybridMultilevel"/>
    <w:tmpl w:val="D4A8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36B3D"/>
    <w:multiLevelType w:val="hybridMultilevel"/>
    <w:tmpl w:val="C63E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95244F"/>
    <w:multiLevelType w:val="hybridMultilevel"/>
    <w:tmpl w:val="53F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21694E"/>
    <w:multiLevelType w:val="hybridMultilevel"/>
    <w:tmpl w:val="5ED47C1C"/>
    <w:lvl w:ilvl="0" w:tplc="A4B681D0">
      <w:start w:val="1"/>
      <w:numFmt w:val="bullet"/>
      <w:lvlText w:val="•"/>
      <w:lvlJc w:val="left"/>
      <w:pPr>
        <w:tabs>
          <w:tab w:val="num" w:pos="720"/>
        </w:tabs>
        <w:ind w:left="720" w:hanging="360"/>
      </w:pPr>
      <w:rPr>
        <w:rFonts w:ascii="Arial" w:hAnsi="Arial" w:hint="default"/>
      </w:rPr>
    </w:lvl>
    <w:lvl w:ilvl="1" w:tplc="6F7EB142" w:tentative="1">
      <w:start w:val="1"/>
      <w:numFmt w:val="bullet"/>
      <w:lvlText w:val="•"/>
      <w:lvlJc w:val="left"/>
      <w:pPr>
        <w:tabs>
          <w:tab w:val="num" w:pos="1440"/>
        </w:tabs>
        <w:ind w:left="1440" w:hanging="360"/>
      </w:pPr>
      <w:rPr>
        <w:rFonts w:ascii="Arial" w:hAnsi="Arial" w:hint="default"/>
      </w:rPr>
    </w:lvl>
    <w:lvl w:ilvl="2" w:tplc="B84CDE90" w:tentative="1">
      <w:start w:val="1"/>
      <w:numFmt w:val="bullet"/>
      <w:lvlText w:val="•"/>
      <w:lvlJc w:val="left"/>
      <w:pPr>
        <w:tabs>
          <w:tab w:val="num" w:pos="2160"/>
        </w:tabs>
        <w:ind w:left="2160" w:hanging="360"/>
      </w:pPr>
      <w:rPr>
        <w:rFonts w:ascii="Arial" w:hAnsi="Arial" w:hint="default"/>
      </w:rPr>
    </w:lvl>
    <w:lvl w:ilvl="3" w:tplc="BA946AFC" w:tentative="1">
      <w:start w:val="1"/>
      <w:numFmt w:val="bullet"/>
      <w:lvlText w:val="•"/>
      <w:lvlJc w:val="left"/>
      <w:pPr>
        <w:tabs>
          <w:tab w:val="num" w:pos="2880"/>
        </w:tabs>
        <w:ind w:left="2880" w:hanging="360"/>
      </w:pPr>
      <w:rPr>
        <w:rFonts w:ascii="Arial" w:hAnsi="Arial" w:hint="default"/>
      </w:rPr>
    </w:lvl>
    <w:lvl w:ilvl="4" w:tplc="D068E6C2" w:tentative="1">
      <w:start w:val="1"/>
      <w:numFmt w:val="bullet"/>
      <w:lvlText w:val="•"/>
      <w:lvlJc w:val="left"/>
      <w:pPr>
        <w:tabs>
          <w:tab w:val="num" w:pos="3600"/>
        </w:tabs>
        <w:ind w:left="3600" w:hanging="360"/>
      </w:pPr>
      <w:rPr>
        <w:rFonts w:ascii="Arial" w:hAnsi="Arial" w:hint="default"/>
      </w:rPr>
    </w:lvl>
    <w:lvl w:ilvl="5" w:tplc="39967FE4" w:tentative="1">
      <w:start w:val="1"/>
      <w:numFmt w:val="bullet"/>
      <w:lvlText w:val="•"/>
      <w:lvlJc w:val="left"/>
      <w:pPr>
        <w:tabs>
          <w:tab w:val="num" w:pos="4320"/>
        </w:tabs>
        <w:ind w:left="4320" w:hanging="360"/>
      </w:pPr>
      <w:rPr>
        <w:rFonts w:ascii="Arial" w:hAnsi="Arial" w:hint="default"/>
      </w:rPr>
    </w:lvl>
    <w:lvl w:ilvl="6" w:tplc="EC121D12" w:tentative="1">
      <w:start w:val="1"/>
      <w:numFmt w:val="bullet"/>
      <w:lvlText w:val="•"/>
      <w:lvlJc w:val="left"/>
      <w:pPr>
        <w:tabs>
          <w:tab w:val="num" w:pos="5040"/>
        </w:tabs>
        <w:ind w:left="5040" w:hanging="360"/>
      </w:pPr>
      <w:rPr>
        <w:rFonts w:ascii="Arial" w:hAnsi="Arial" w:hint="default"/>
      </w:rPr>
    </w:lvl>
    <w:lvl w:ilvl="7" w:tplc="BF34CF6C" w:tentative="1">
      <w:start w:val="1"/>
      <w:numFmt w:val="bullet"/>
      <w:lvlText w:val="•"/>
      <w:lvlJc w:val="left"/>
      <w:pPr>
        <w:tabs>
          <w:tab w:val="num" w:pos="5760"/>
        </w:tabs>
        <w:ind w:left="5760" w:hanging="360"/>
      </w:pPr>
      <w:rPr>
        <w:rFonts w:ascii="Arial" w:hAnsi="Arial" w:hint="default"/>
      </w:rPr>
    </w:lvl>
    <w:lvl w:ilvl="8" w:tplc="1FB6D4C4" w:tentative="1">
      <w:start w:val="1"/>
      <w:numFmt w:val="bullet"/>
      <w:lvlText w:val="•"/>
      <w:lvlJc w:val="left"/>
      <w:pPr>
        <w:tabs>
          <w:tab w:val="num" w:pos="6480"/>
        </w:tabs>
        <w:ind w:left="6480" w:hanging="360"/>
      </w:pPr>
      <w:rPr>
        <w:rFonts w:ascii="Arial" w:hAnsi="Arial" w:hint="default"/>
      </w:rPr>
    </w:lvl>
  </w:abstractNum>
  <w:num w:numId="1" w16cid:durableId="765539803">
    <w:abstractNumId w:val="14"/>
  </w:num>
  <w:num w:numId="2" w16cid:durableId="9660820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337080">
    <w:abstractNumId w:val="0"/>
  </w:num>
  <w:num w:numId="4" w16cid:durableId="1277179793">
    <w:abstractNumId w:val="9"/>
  </w:num>
  <w:num w:numId="5" w16cid:durableId="1361199482">
    <w:abstractNumId w:val="8"/>
  </w:num>
  <w:num w:numId="6" w16cid:durableId="392509951">
    <w:abstractNumId w:val="26"/>
  </w:num>
  <w:num w:numId="7" w16cid:durableId="1108624056">
    <w:abstractNumId w:val="12"/>
  </w:num>
  <w:num w:numId="8" w16cid:durableId="522211539">
    <w:abstractNumId w:val="11"/>
  </w:num>
  <w:num w:numId="9" w16cid:durableId="590040815">
    <w:abstractNumId w:val="34"/>
  </w:num>
  <w:num w:numId="10" w16cid:durableId="1571234785">
    <w:abstractNumId w:val="45"/>
  </w:num>
  <w:num w:numId="11" w16cid:durableId="873081210">
    <w:abstractNumId w:val="20"/>
  </w:num>
  <w:num w:numId="12" w16cid:durableId="1015230187">
    <w:abstractNumId w:val="4"/>
  </w:num>
  <w:num w:numId="13" w16cid:durableId="195120652">
    <w:abstractNumId w:val="24"/>
  </w:num>
  <w:num w:numId="14" w16cid:durableId="19353595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776373">
    <w:abstractNumId w:val="43"/>
  </w:num>
  <w:num w:numId="16" w16cid:durableId="884872087">
    <w:abstractNumId w:val="29"/>
  </w:num>
  <w:num w:numId="17" w16cid:durableId="1802109764">
    <w:abstractNumId w:val="35"/>
  </w:num>
  <w:num w:numId="18" w16cid:durableId="444691536">
    <w:abstractNumId w:val="46"/>
  </w:num>
  <w:num w:numId="19" w16cid:durableId="1356535695">
    <w:abstractNumId w:val="40"/>
  </w:num>
  <w:num w:numId="20" w16cid:durableId="1531525197">
    <w:abstractNumId w:val="31"/>
  </w:num>
  <w:num w:numId="21" w16cid:durableId="1500392263">
    <w:abstractNumId w:val="30"/>
  </w:num>
  <w:num w:numId="22" w16cid:durableId="1557862104">
    <w:abstractNumId w:val="16"/>
  </w:num>
  <w:num w:numId="23" w16cid:durableId="1380132972">
    <w:abstractNumId w:val="5"/>
  </w:num>
  <w:num w:numId="24" w16cid:durableId="877012013">
    <w:abstractNumId w:val="27"/>
  </w:num>
  <w:num w:numId="25" w16cid:durableId="213661248">
    <w:abstractNumId w:val="6"/>
  </w:num>
  <w:num w:numId="26" w16cid:durableId="844247553">
    <w:abstractNumId w:val="25"/>
  </w:num>
  <w:num w:numId="27" w16cid:durableId="612400002">
    <w:abstractNumId w:val="3"/>
  </w:num>
  <w:num w:numId="28" w16cid:durableId="69740747">
    <w:abstractNumId w:val="41"/>
  </w:num>
  <w:num w:numId="29" w16cid:durableId="928080362">
    <w:abstractNumId w:val="44"/>
  </w:num>
  <w:num w:numId="30" w16cid:durableId="1001467702">
    <w:abstractNumId w:val="36"/>
  </w:num>
  <w:num w:numId="31" w16cid:durableId="643049401">
    <w:abstractNumId w:val="7"/>
  </w:num>
  <w:num w:numId="32" w16cid:durableId="608395098">
    <w:abstractNumId w:val="37"/>
  </w:num>
  <w:num w:numId="33" w16cid:durableId="1881280300">
    <w:abstractNumId w:val="21"/>
  </w:num>
  <w:num w:numId="34" w16cid:durableId="1477994667">
    <w:abstractNumId w:val="22"/>
  </w:num>
  <w:num w:numId="35" w16cid:durableId="2123526353">
    <w:abstractNumId w:val="10"/>
  </w:num>
  <w:num w:numId="36" w16cid:durableId="1812559064">
    <w:abstractNumId w:val="17"/>
  </w:num>
  <w:num w:numId="37" w16cid:durableId="1182430404">
    <w:abstractNumId w:val="13"/>
  </w:num>
  <w:num w:numId="38" w16cid:durableId="174077810">
    <w:abstractNumId w:val="23"/>
  </w:num>
  <w:num w:numId="39" w16cid:durableId="1233203369">
    <w:abstractNumId w:val="19"/>
  </w:num>
  <w:num w:numId="40" w16cid:durableId="422533702">
    <w:abstractNumId w:val="18"/>
  </w:num>
  <w:num w:numId="41" w16cid:durableId="15623478">
    <w:abstractNumId w:val="2"/>
  </w:num>
  <w:num w:numId="42" w16cid:durableId="429282402">
    <w:abstractNumId w:val="38"/>
  </w:num>
  <w:num w:numId="43" w16cid:durableId="92867252">
    <w:abstractNumId w:val="15"/>
  </w:num>
  <w:num w:numId="44" w16cid:durableId="1248229705">
    <w:abstractNumId w:val="1"/>
  </w:num>
  <w:num w:numId="45" w16cid:durableId="1341661111">
    <w:abstractNumId w:val="42"/>
  </w:num>
  <w:num w:numId="46" w16cid:durableId="1316496435">
    <w:abstractNumId w:val="39"/>
  </w:num>
  <w:num w:numId="47" w16cid:durableId="1120537645">
    <w:abstractNumId w:val="28"/>
  </w:num>
  <w:num w:numId="48" w16cid:durableId="153768321">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C676B"/>
    <w:rsid w:val="00000559"/>
    <w:rsid w:val="00001A8A"/>
    <w:rsid w:val="00001B97"/>
    <w:rsid w:val="000034CF"/>
    <w:rsid w:val="000049D3"/>
    <w:rsid w:val="00005120"/>
    <w:rsid w:val="00005AC3"/>
    <w:rsid w:val="000061EE"/>
    <w:rsid w:val="00006E41"/>
    <w:rsid w:val="00007852"/>
    <w:rsid w:val="00007904"/>
    <w:rsid w:val="00007BE6"/>
    <w:rsid w:val="00010A2E"/>
    <w:rsid w:val="00011FAC"/>
    <w:rsid w:val="00013592"/>
    <w:rsid w:val="00013A6E"/>
    <w:rsid w:val="0001670C"/>
    <w:rsid w:val="00016B0C"/>
    <w:rsid w:val="00017A40"/>
    <w:rsid w:val="00020DD2"/>
    <w:rsid w:val="00021E08"/>
    <w:rsid w:val="00022DF7"/>
    <w:rsid w:val="00023631"/>
    <w:rsid w:val="000240D4"/>
    <w:rsid w:val="00024E3D"/>
    <w:rsid w:val="0002570F"/>
    <w:rsid w:val="00025FD9"/>
    <w:rsid w:val="00026B94"/>
    <w:rsid w:val="00030D39"/>
    <w:rsid w:val="00032429"/>
    <w:rsid w:val="00032899"/>
    <w:rsid w:val="00033352"/>
    <w:rsid w:val="000341E4"/>
    <w:rsid w:val="00034F6A"/>
    <w:rsid w:val="000357EE"/>
    <w:rsid w:val="00036A26"/>
    <w:rsid w:val="00036C8E"/>
    <w:rsid w:val="00036CB1"/>
    <w:rsid w:val="000370D0"/>
    <w:rsid w:val="00043B69"/>
    <w:rsid w:val="00043B94"/>
    <w:rsid w:val="000458E9"/>
    <w:rsid w:val="000464D3"/>
    <w:rsid w:val="0004754C"/>
    <w:rsid w:val="00050AEE"/>
    <w:rsid w:val="00050BC1"/>
    <w:rsid w:val="00050E3F"/>
    <w:rsid w:val="0005359C"/>
    <w:rsid w:val="00053977"/>
    <w:rsid w:val="00054F3C"/>
    <w:rsid w:val="00057774"/>
    <w:rsid w:val="00057B30"/>
    <w:rsid w:val="00057B67"/>
    <w:rsid w:val="00061C73"/>
    <w:rsid w:val="00062465"/>
    <w:rsid w:val="0006411D"/>
    <w:rsid w:val="000641FB"/>
    <w:rsid w:val="00064A73"/>
    <w:rsid w:val="00064F54"/>
    <w:rsid w:val="0006591E"/>
    <w:rsid w:val="00066625"/>
    <w:rsid w:val="00067547"/>
    <w:rsid w:val="000734FB"/>
    <w:rsid w:val="00073A43"/>
    <w:rsid w:val="00074A3B"/>
    <w:rsid w:val="00075143"/>
    <w:rsid w:val="00075B71"/>
    <w:rsid w:val="00076119"/>
    <w:rsid w:val="000762B0"/>
    <w:rsid w:val="000764EB"/>
    <w:rsid w:val="000779F8"/>
    <w:rsid w:val="00077D7A"/>
    <w:rsid w:val="00080688"/>
    <w:rsid w:val="00080A5B"/>
    <w:rsid w:val="0008277D"/>
    <w:rsid w:val="00083B72"/>
    <w:rsid w:val="00083D3D"/>
    <w:rsid w:val="00084EE0"/>
    <w:rsid w:val="00085C85"/>
    <w:rsid w:val="0009248F"/>
    <w:rsid w:val="00092EEE"/>
    <w:rsid w:val="00093D0F"/>
    <w:rsid w:val="00093EBB"/>
    <w:rsid w:val="00095325"/>
    <w:rsid w:val="0009690B"/>
    <w:rsid w:val="000A02A3"/>
    <w:rsid w:val="000A0821"/>
    <w:rsid w:val="000A0D66"/>
    <w:rsid w:val="000A10F0"/>
    <w:rsid w:val="000A1232"/>
    <w:rsid w:val="000A2400"/>
    <w:rsid w:val="000A475B"/>
    <w:rsid w:val="000A63CB"/>
    <w:rsid w:val="000A6888"/>
    <w:rsid w:val="000A6DFA"/>
    <w:rsid w:val="000A6EA7"/>
    <w:rsid w:val="000B1B18"/>
    <w:rsid w:val="000B1CCF"/>
    <w:rsid w:val="000B4391"/>
    <w:rsid w:val="000B5C35"/>
    <w:rsid w:val="000B6C10"/>
    <w:rsid w:val="000B6C62"/>
    <w:rsid w:val="000B6C93"/>
    <w:rsid w:val="000B6D6E"/>
    <w:rsid w:val="000B757B"/>
    <w:rsid w:val="000B7746"/>
    <w:rsid w:val="000B78CB"/>
    <w:rsid w:val="000C2083"/>
    <w:rsid w:val="000C227D"/>
    <w:rsid w:val="000C4B34"/>
    <w:rsid w:val="000C52FC"/>
    <w:rsid w:val="000C55BF"/>
    <w:rsid w:val="000C5D14"/>
    <w:rsid w:val="000C64CB"/>
    <w:rsid w:val="000C6EF6"/>
    <w:rsid w:val="000C6FF0"/>
    <w:rsid w:val="000D26C2"/>
    <w:rsid w:val="000D31D4"/>
    <w:rsid w:val="000D3BD6"/>
    <w:rsid w:val="000D71C0"/>
    <w:rsid w:val="000D7326"/>
    <w:rsid w:val="000E09C9"/>
    <w:rsid w:val="000E1D4B"/>
    <w:rsid w:val="000E1FB8"/>
    <w:rsid w:val="000E6124"/>
    <w:rsid w:val="000E63CF"/>
    <w:rsid w:val="000E7404"/>
    <w:rsid w:val="000F0763"/>
    <w:rsid w:val="000F0C3D"/>
    <w:rsid w:val="000F19C5"/>
    <w:rsid w:val="000F340B"/>
    <w:rsid w:val="000F48FE"/>
    <w:rsid w:val="000F6CBB"/>
    <w:rsid w:val="000F7A9D"/>
    <w:rsid w:val="00100A90"/>
    <w:rsid w:val="00100EF5"/>
    <w:rsid w:val="00101638"/>
    <w:rsid w:val="00102455"/>
    <w:rsid w:val="00104719"/>
    <w:rsid w:val="001048B7"/>
    <w:rsid w:val="00104DBD"/>
    <w:rsid w:val="0010524B"/>
    <w:rsid w:val="00106C32"/>
    <w:rsid w:val="00106CBB"/>
    <w:rsid w:val="00111BE5"/>
    <w:rsid w:val="0011221D"/>
    <w:rsid w:val="0011296C"/>
    <w:rsid w:val="0011380E"/>
    <w:rsid w:val="001143EA"/>
    <w:rsid w:val="001144A7"/>
    <w:rsid w:val="00114BB1"/>
    <w:rsid w:val="00115878"/>
    <w:rsid w:val="0011592D"/>
    <w:rsid w:val="001169A8"/>
    <w:rsid w:val="00121963"/>
    <w:rsid w:val="00121D67"/>
    <w:rsid w:val="00122122"/>
    <w:rsid w:val="00122B23"/>
    <w:rsid w:val="00123D7C"/>
    <w:rsid w:val="00124154"/>
    <w:rsid w:val="0012422C"/>
    <w:rsid w:val="00124FCE"/>
    <w:rsid w:val="00125777"/>
    <w:rsid w:val="0012660A"/>
    <w:rsid w:val="00126A8C"/>
    <w:rsid w:val="00127C20"/>
    <w:rsid w:val="00127C46"/>
    <w:rsid w:val="001302BB"/>
    <w:rsid w:val="00130458"/>
    <w:rsid w:val="00131DE1"/>
    <w:rsid w:val="00132DE9"/>
    <w:rsid w:val="00134209"/>
    <w:rsid w:val="00134316"/>
    <w:rsid w:val="001358AF"/>
    <w:rsid w:val="00135904"/>
    <w:rsid w:val="001363C5"/>
    <w:rsid w:val="00136DC5"/>
    <w:rsid w:val="001372D9"/>
    <w:rsid w:val="00137901"/>
    <w:rsid w:val="001379F4"/>
    <w:rsid w:val="00141D1A"/>
    <w:rsid w:val="00142005"/>
    <w:rsid w:val="00142E33"/>
    <w:rsid w:val="00143B06"/>
    <w:rsid w:val="0014423D"/>
    <w:rsid w:val="00145BB2"/>
    <w:rsid w:val="00146F37"/>
    <w:rsid w:val="00146F58"/>
    <w:rsid w:val="001471AF"/>
    <w:rsid w:val="001474C8"/>
    <w:rsid w:val="0015039A"/>
    <w:rsid w:val="00150778"/>
    <w:rsid w:val="00150FA8"/>
    <w:rsid w:val="0015104C"/>
    <w:rsid w:val="00151E26"/>
    <w:rsid w:val="00153FA7"/>
    <w:rsid w:val="0015463B"/>
    <w:rsid w:val="0015621F"/>
    <w:rsid w:val="0015788D"/>
    <w:rsid w:val="001617F5"/>
    <w:rsid w:val="00161E21"/>
    <w:rsid w:val="0016249B"/>
    <w:rsid w:val="00162E39"/>
    <w:rsid w:val="001633C7"/>
    <w:rsid w:val="00163BC7"/>
    <w:rsid w:val="00163D14"/>
    <w:rsid w:val="00163D52"/>
    <w:rsid w:val="00163F4E"/>
    <w:rsid w:val="00164827"/>
    <w:rsid w:val="00164F46"/>
    <w:rsid w:val="00165537"/>
    <w:rsid w:val="00166F22"/>
    <w:rsid w:val="00167D87"/>
    <w:rsid w:val="001701B8"/>
    <w:rsid w:val="00170681"/>
    <w:rsid w:val="00171585"/>
    <w:rsid w:val="001728F6"/>
    <w:rsid w:val="00174140"/>
    <w:rsid w:val="00174774"/>
    <w:rsid w:val="00174D3C"/>
    <w:rsid w:val="0017568F"/>
    <w:rsid w:val="00177401"/>
    <w:rsid w:val="00181FAD"/>
    <w:rsid w:val="00182D61"/>
    <w:rsid w:val="001834A8"/>
    <w:rsid w:val="00183D94"/>
    <w:rsid w:val="0018419E"/>
    <w:rsid w:val="00184DF2"/>
    <w:rsid w:val="001858D3"/>
    <w:rsid w:val="00185DB5"/>
    <w:rsid w:val="00186192"/>
    <w:rsid w:val="00186B3A"/>
    <w:rsid w:val="00190019"/>
    <w:rsid w:val="001930B2"/>
    <w:rsid w:val="00194609"/>
    <w:rsid w:val="0019574E"/>
    <w:rsid w:val="00196213"/>
    <w:rsid w:val="0019722A"/>
    <w:rsid w:val="001974F5"/>
    <w:rsid w:val="00197F02"/>
    <w:rsid w:val="00197F3B"/>
    <w:rsid w:val="001A04EA"/>
    <w:rsid w:val="001A0744"/>
    <w:rsid w:val="001A0847"/>
    <w:rsid w:val="001A0B4C"/>
    <w:rsid w:val="001A0C5F"/>
    <w:rsid w:val="001A1216"/>
    <w:rsid w:val="001A1A6E"/>
    <w:rsid w:val="001A24CC"/>
    <w:rsid w:val="001A3368"/>
    <w:rsid w:val="001A48C2"/>
    <w:rsid w:val="001A57F3"/>
    <w:rsid w:val="001A6357"/>
    <w:rsid w:val="001A6845"/>
    <w:rsid w:val="001A72D1"/>
    <w:rsid w:val="001A74CF"/>
    <w:rsid w:val="001A7B54"/>
    <w:rsid w:val="001A7BEB"/>
    <w:rsid w:val="001A7CB1"/>
    <w:rsid w:val="001B0053"/>
    <w:rsid w:val="001B0613"/>
    <w:rsid w:val="001B2A07"/>
    <w:rsid w:val="001B302B"/>
    <w:rsid w:val="001B3321"/>
    <w:rsid w:val="001B35EE"/>
    <w:rsid w:val="001B4884"/>
    <w:rsid w:val="001B4BC4"/>
    <w:rsid w:val="001B7310"/>
    <w:rsid w:val="001B7769"/>
    <w:rsid w:val="001C170D"/>
    <w:rsid w:val="001C2A05"/>
    <w:rsid w:val="001C305B"/>
    <w:rsid w:val="001C380D"/>
    <w:rsid w:val="001C6A58"/>
    <w:rsid w:val="001C6FF4"/>
    <w:rsid w:val="001D2B11"/>
    <w:rsid w:val="001D2F7F"/>
    <w:rsid w:val="001D3BC7"/>
    <w:rsid w:val="001D5086"/>
    <w:rsid w:val="001D5453"/>
    <w:rsid w:val="001D55EB"/>
    <w:rsid w:val="001E0162"/>
    <w:rsid w:val="001E0430"/>
    <w:rsid w:val="001E1B9C"/>
    <w:rsid w:val="001E2AB5"/>
    <w:rsid w:val="001E2ACF"/>
    <w:rsid w:val="001E2F38"/>
    <w:rsid w:val="001E3A81"/>
    <w:rsid w:val="001E4402"/>
    <w:rsid w:val="001E5873"/>
    <w:rsid w:val="001E62A2"/>
    <w:rsid w:val="001E6307"/>
    <w:rsid w:val="001E69B8"/>
    <w:rsid w:val="001E7979"/>
    <w:rsid w:val="001E7D62"/>
    <w:rsid w:val="001F052C"/>
    <w:rsid w:val="001F1E5C"/>
    <w:rsid w:val="001F2B61"/>
    <w:rsid w:val="001F2CD2"/>
    <w:rsid w:val="001F5FFA"/>
    <w:rsid w:val="001F60BE"/>
    <w:rsid w:val="001F6EBD"/>
    <w:rsid w:val="00203AB2"/>
    <w:rsid w:val="00203EFF"/>
    <w:rsid w:val="00204EF7"/>
    <w:rsid w:val="002058CB"/>
    <w:rsid w:val="00206026"/>
    <w:rsid w:val="00207D57"/>
    <w:rsid w:val="00207EA9"/>
    <w:rsid w:val="00210DF6"/>
    <w:rsid w:val="00211913"/>
    <w:rsid w:val="0021310D"/>
    <w:rsid w:val="002156B0"/>
    <w:rsid w:val="0021633E"/>
    <w:rsid w:val="002166BA"/>
    <w:rsid w:val="00216FDF"/>
    <w:rsid w:val="002177B5"/>
    <w:rsid w:val="002200CD"/>
    <w:rsid w:val="00220130"/>
    <w:rsid w:val="00220547"/>
    <w:rsid w:val="00221435"/>
    <w:rsid w:val="002215B9"/>
    <w:rsid w:val="002216D5"/>
    <w:rsid w:val="00222AA0"/>
    <w:rsid w:val="00225A0E"/>
    <w:rsid w:val="00227E41"/>
    <w:rsid w:val="002307E8"/>
    <w:rsid w:val="00231F75"/>
    <w:rsid w:val="0023279C"/>
    <w:rsid w:val="00232FA6"/>
    <w:rsid w:val="002349B0"/>
    <w:rsid w:val="00234C1D"/>
    <w:rsid w:val="00234C33"/>
    <w:rsid w:val="00234E88"/>
    <w:rsid w:val="00235EAB"/>
    <w:rsid w:val="00236247"/>
    <w:rsid w:val="00236FFE"/>
    <w:rsid w:val="00240D76"/>
    <w:rsid w:val="002421AD"/>
    <w:rsid w:val="00244D34"/>
    <w:rsid w:val="0024639D"/>
    <w:rsid w:val="00251384"/>
    <w:rsid w:val="002537E8"/>
    <w:rsid w:val="00253AAF"/>
    <w:rsid w:val="002559A5"/>
    <w:rsid w:val="00255B55"/>
    <w:rsid w:val="00256F0F"/>
    <w:rsid w:val="00257D7E"/>
    <w:rsid w:val="002603EF"/>
    <w:rsid w:val="002615E1"/>
    <w:rsid w:val="0026252A"/>
    <w:rsid w:val="00263340"/>
    <w:rsid w:val="00263482"/>
    <w:rsid w:val="00263D27"/>
    <w:rsid w:val="00264641"/>
    <w:rsid w:val="00264694"/>
    <w:rsid w:val="00264984"/>
    <w:rsid w:val="00266A1B"/>
    <w:rsid w:val="00266A6D"/>
    <w:rsid w:val="00267CB3"/>
    <w:rsid w:val="00270A61"/>
    <w:rsid w:val="00271775"/>
    <w:rsid w:val="00272F0E"/>
    <w:rsid w:val="00273726"/>
    <w:rsid w:val="00273AF0"/>
    <w:rsid w:val="0027480E"/>
    <w:rsid w:val="00277376"/>
    <w:rsid w:val="00277FC4"/>
    <w:rsid w:val="00280471"/>
    <w:rsid w:val="00284EB8"/>
    <w:rsid w:val="00285B5C"/>
    <w:rsid w:val="00286615"/>
    <w:rsid w:val="00286C24"/>
    <w:rsid w:val="00286EBC"/>
    <w:rsid w:val="00287D44"/>
    <w:rsid w:val="0029009B"/>
    <w:rsid w:val="00290853"/>
    <w:rsid w:val="00291339"/>
    <w:rsid w:val="00293409"/>
    <w:rsid w:val="00296723"/>
    <w:rsid w:val="0029789F"/>
    <w:rsid w:val="002A093C"/>
    <w:rsid w:val="002A0964"/>
    <w:rsid w:val="002A153B"/>
    <w:rsid w:val="002A26DD"/>
    <w:rsid w:val="002A2A71"/>
    <w:rsid w:val="002A2BDC"/>
    <w:rsid w:val="002A340D"/>
    <w:rsid w:val="002A35D1"/>
    <w:rsid w:val="002A6036"/>
    <w:rsid w:val="002A78B1"/>
    <w:rsid w:val="002A7EF8"/>
    <w:rsid w:val="002B1E13"/>
    <w:rsid w:val="002B2458"/>
    <w:rsid w:val="002B29CC"/>
    <w:rsid w:val="002C0502"/>
    <w:rsid w:val="002C38F3"/>
    <w:rsid w:val="002C45A2"/>
    <w:rsid w:val="002C4C68"/>
    <w:rsid w:val="002C5164"/>
    <w:rsid w:val="002C7AE9"/>
    <w:rsid w:val="002D033A"/>
    <w:rsid w:val="002D0903"/>
    <w:rsid w:val="002D255A"/>
    <w:rsid w:val="002D56F0"/>
    <w:rsid w:val="002D68EB"/>
    <w:rsid w:val="002E1A1A"/>
    <w:rsid w:val="002E20FF"/>
    <w:rsid w:val="002E3009"/>
    <w:rsid w:val="002E3890"/>
    <w:rsid w:val="002E4E73"/>
    <w:rsid w:val="002E6534"/>
    <w:rsid w:val="002E791B"/>
    <w:rsid w:val="002E7A20"/>
    <w:rsid w:val="002E7FC9"/>
    <w:rsid w:val="002F05BF"/>
    <w:rsid w:val="002F20E2"/>
    <w:rsid w:val="002F2D52"/>
    <w:rsid w:val="002F2EB4"/>
    <w:rsid w:val="002F31F0"/>
    <w:rsid w:val="002F3310"/>
    <w:rsid w:val="002F3412"/>
    <w:rsid w:val="002F3B4F"/>
    <w:rsid w:val="002F40AF"/>
    <w:rsid w:val="002F615D"/>
    <w:rsid w:val="00300423"/>
    <w:rsid w:val="003035A2"/>
    <w:rsid w:val="00303902"/>
    <w:rsid w:val="00303A70"/>
    <w:rsid w:val="0030464E"/>
    <w:rsid w:val="003053E1"/>
    <w:rsid w:val="00305CC2"/>
    <w:rsid w:val="00306E66"/>
    <w:rsid w:val="003070F4"/>
    <w:rsid w:val="00307BE6"/>
    <w:rsid w:val="00310252"/>
    <w:rsid w:val="003104D2"/>
    <w:rsid w:val="003106BB"/>
    <w:rsid w:val="00311870"/>
    <w:rsid w:val="00311EAD"/>
    <w:rsid w:val="00312508"/>
    <w:rsid w:val="00313311"/>
    <w:rsid w:val="003142B5"/>
    <w:rsid w:val="003147B5"/>
    <w:rsid w:val="00314B45"/>
    <w:rsid w:val="0031558E"/>
    <w:rsid w:val="003170B3"/>
    <w:rsid w:val="003173ED"/>
    <w:rsid w:val="00320441"/>
    <w:rsid w:val="00320A44"/>
    <w:rsid w:val="003211B1"/>
    <w:rsid w:val="00321BFC"/>
    <w:rsid w:val="00322112"/>
    <w:rsid w:val="00322DE2"/>
    <w:rsid w:val="00322DFD"/>
    <w:rsid w:val="003248E8"/>
    <w:rsid w:val="00325D99"/>
    <w:rsid w:val="00325F46"/>
    <w:rsid w:val="00326141"/>
    <w:rsid w:val="00327C29"/>
    <w:rsid w:val="00330D25"/>
    <w:rsid w:val="00330D44"/>
    <w:rsid w:val="00331A17"/>
    <w:rsid w:val="00334065"/>
    <w:rsid w:val="0033461B"/>
    <w:rsid w:val="003347B6"/>
    <w:rsid w:val="00334B02"/>
    <w:rsid w:val="00335846"/>
    <w:rsid w:val="00335FB1"/>
    <w:rsid w:val="0033687C"/>
    <w:rsid w:val="00337FE1"/>
    <w:rsid w:val="00340277"/>
    <w:rsid w:val="00341267"/>
    <w:rsid w:val="00341CEB"/>
    <w:rsid w:val="003432D8"/>
    <w:rsid w:val="003451E7"/>
    <w:rsid w:val="003456EA"/>
    <w:rsid w:val="00347DCD"/>
    <w:rsid w:val="00351FAA"/>
    <w:rsid w:val="003520C4"/>
    <w:rsid w:val="00352D75"/>
    <w:rsid w:val="0035318D"/>
    <w:rsid w:val="0035541B"/>
    <w:rsid w:val="0035586D"/>
    <w:rsid w:val="00355A1C"/>
    <w:rsid w:val="00356552"/>
    <w:rsid w:val="00357E83"/>
    <w:rsid w:val="00357FE7"/>
    <w:rsid w:val="00360160"/>
    <w:rsid w:val="003606CA"/>
    <w:rsid w:val="00360895"/>
    <w:rsid w:val="003614F2"/>
    <w:rsid w:val="003622A1"/>
    <w:rsid w:val="003646D0"/>
    <w:rsid w:val="00364C2E"/>
    <w:rsid w:val="00364EBA"/>
    <w:rsid w:val="0036571C"/>
    <w:rsid w:val="00366104"/>
    <w:rsid w:val="00366B9C"/>
    <w:rsid w:val="00366D4E"/>
    <w:rsid w:val="00367071"/>
    <w:rsid w:val="00371D91"/>
    <w:rsid w:val="00371E38"/>
    <w:rsid w:val="00373D4F"/>
    <w:rsid w:val="00376317"/>
    <w:rsid w:val="00376A2F"/>
    <w:rsid w:val="00380230"/>
    <w:rsid w:val="0038042D"/>
    <w:rsid w:val="00382AD1"/>
    <w:rsid w:val="00382F65"/>
    <w:rsid w:val="00385134"/>
    <w:rsid w:val="003857E8"/>
    <w:rsid w:val="00386322"/>
    <w:rsid w:val="00386F7C"/>
    <w:rsid w:val="00387D37"/>
    <w:rsid w:val="0039027E"/>
    <w:rsid w:val="003907E4"/>
    <w:rsid w:val="00390C16"/>
    <w:rsid w:val="0039167A"/>
    <w:rsid w:val="003917B7"/>
    <w:rsid w:val="00393976"/>
    <w:rsid w:val="00393FE5"/>
    <w:rsid w:val="00394815"/>
    <w:rsid w:val="00396723"/>
    <w:rsid w:val="003A0242"/>
    <w:rsid w:val="003A05E1"/>
    <w:rsid w:val="003A0703"/>
    <w:rsid w:val="003A234A"/>
    <w:rsid w:val="003A3C97"/>
    <w:rsid w:val="003A41A7"/>
    <w:rsid w:val="003A48FC"/>
    <w:rsid w:val="003A66C0"/>
    <w:rsid w:val="003A6ACB"/>
    <w:rsid w:val="003B01C9"/>
    <w:rsid w:val="003B0671"/>
    <w:rsid w:val="003B0CE9"/>
    <w:rsid w:val="003B15CC"/>
    <w:rsid w:val="003B16D0"/>
    <w:rsid w:val="003B1AAE"/>
    <w:rsid w:val="003B1C21"/>
    <w:rsid w:val="003B2460"/>
    <w:rsid w:val="003B32D1"/>
    <w:rsid w:val="003B3484"/>
    <w:rsid w:val="003B3822"/>
    <w:rsid w:val="003B3EE4"/>
    <w:rsid w:val="003B62DB"/>
    <w:rsid w:val="003B665E"/>
    <w:rsid w:val="003B78CC"/>
    <w:rsid w:val="003B7A62"/>
    <w:rsid w:val="003C0949"/>
    <w:rsid w:val="003C271A"/>
    <w:rsid w:val="003C4158"/>
    <w:rsid w:val="003C5097"/>
    <w:rsid w:val="003C664D"/>
    <w:rsid w:val="003D2308"/>
    <w:rsid w:val="003D27FB"/>
    <w:rsid w:val="003D35B1"/>
    <w:rsid w:val="003D3989"/>
    <w:rsid w:val="003D3CC0"/>
    <w:rsid w:val="003D4D4B"/>
    <w:rsid w:val="003D5885"/>
    <w:rsid w:val="003D6851"/>
    <w:rsid w:val="003D7F62"/>
    <w:rsid w:val="003E1006"/>
    <w:rsid w:val="003E2832"/>
    <w:rsid w:val="003E4056"/>
    <w:rsid w:val="003E52E5"/>
    <w:rsid w:val="003E61CE"/>
    <w:rsid w:val="003E7161"/>
    <w:rsid w:val="003E7A38"/>
    <w:rsid w:val="003F00D8"/>
    <w:rsid w:val="003F01A1"/>
    <w:rsid w:val="003F068B"/>
    <w:rsid w:val="003F06AC"/>
    <w:rsid w:val="003F0C68"/>
    <w:rsid w:val="003F1095"/>
    <w:rsid w:val="003F29F0"/>
    <w:rsid w:val="003F2D89"/>
    <w:rsid w:val="003F4523"/>
    <w:rsid w:val="003F50F5"/>
    <w:rsid w:val="003F526A"/>
    <w:rsid w:val="003F56B3"/>
    <w:rsid w:val="003F6030"/>
    <w:rsid w:val="003F60AF"/>
    <w:rsid w:val="004006F0"/>
    <w:rsid w:val="00400932"/>
    <w:rsid w:val="00401B49"/>
    <w:rsid w:val="00405201"/>
    <w:rsid w:val="004068B4"/>
    <w:rsid w:val="0040721D"/>
    <w:rsid w:val="004074EC"/>
    <w:rsid w:val="00407540"/>
    <w:rsid w:val="00410113"/>
    <w:rsid w:val="00410C91"/>
    <w:rsid w:val="00410E94"/>
    <w:rsid w:val="00411617"/>
    <w:rsid w:val="00411E15"/>
    <w:rsid w:val="00413468"/>
    <w:rsid w:val="004137DF"/>
    <w:rsid w:val="004143EA"/>
    <w:rsid w:val="00414D25"/>
    <w:rsid w:val="00415452"/>
    <w:rsid w:val="0041629F"/>
    <w:rsid w:val="004172F8"/>
    <w:rsid w:val="00417435"/>
    <w:rsid w:val="004176E4"/>
    <w:rsid w:val="00417C0E"/>
    <w:rsid w:val="00417E29"/>
    <w:rsid w:val="00424EC7"/>
    <w:rsid w:val="004322C9"/>
    <w:rsid w:val="00434359"/>
    <w:rsid w:val="00434792"/>
    <w:rsid w:val="00434B9B"/>
    <w:rsid w:val="00435720"/>
    <w:rsid w:val="00441918"/>
    <w:rsid w:val="0044229A"/>
    <w:rsid w:val="00443604"/>
    <w:rsid w:val="004436A2"/>
    <w:rsid w:val="004436BA"/>
    <w:rsid w:val="00443CF4"/>
    <w:rsid w:val="00444BBD"/>
    <w:rsid w:val="0044614A"/>
    <w:rsid w:val="00447312"/>
    <w:rsid w:val="00451546"/>
    <w:rsid w:val="00451616"/>
    <w:rsid w:val="00452188"/>
    <w:rsid w:val="0045340B"/>
    <w:rsid w:val="004535F1"/>
    <w:rsid w:val="00453661"/>
    <w:rsid w:val="004537C5"/>
    <w:rsid w:val="0045458D"/>
    <w:rsid w:val="00454A76"/>
    <w:rsid w:val="00454DE3"/>
    <w:rsid w:val="004552C4"/>
    <w:rsid w:val="0045624D"/>
    <w:rsid w:val="00457222"/>
    <w:rsid w:val="0046054A"/>
    <w:rsid w:val="00461557"/>
    <w:rsid w:val="00462625"/>
    <w:rsid w:val="00462B9C"/>
    <w:rsid w:val="00462F5A"/>
    <w:rsid w:val="00466A5B"/>
    <w:rsid w:val="00466BA8"/>
    <w:rsid w:val="00466F8A"/>
    <w:rsid w:val="00466FDD"/>
    <w:rsid w:val="00467849"/>
    <w:rsid w:val="004707FA"/>
    <w:rsid w:val="00471BCE"/>
    <w:rsid w:val="00471CE5"/>
    <w:rsid w:val="00473D0B"/>
    <w:rsid w:val="00473DCA"/>
    <w:rsid w:val="00473DEA"/>
    <w:rsid w:val="00475592"/>
    <w:rsid w:val="004770A1"/>
    <w:rsid w:val="00480487"/>
    <w:rsid w:val="0048153E"/>
    <w:rsid w:val="004820A7"/>
    <w:rsid w:val="0048242B"/>
    <w:rsid w:val="0048399F"/>
    <w:rsid w:val="0048436E"/>
    <w:rsid w:val="00484812"/>
    <w:rsid w:val="00490E85"/>
    <w:rsid w:val="0049227C"/>
    <w:rsid w:val="004926FC"/>
    <w:rsid w:val="00492CF9"/>
    <w:rsid w:val="00492D1E"/>
    <w:rsid w:val="00493D3E"/>
    <w:rsid w:val="00495155"/>
    <w:rsid w:val="004966E8"/>
    <w:rsid w:val="00497E2D"/>
    <w:rsid w:val="004A0C98"/>
    <w:rsid w:val="004A1447"/>
    <w:rsid w:val="004A297D"/>
    <w:rsid w:val="004A3D63"/>
    <w:rsid w:val="004A42BE"/>
    <w:rsid w:val="004A46CF"/>
    <w:rsid w:val="004A77D1"/>
    <w:rsid w:val="004A79A1"/>
    <w:rsid w:val="004B15DE"/>
    <w:rsid w:val="004B251F"/>
    <w:rsid w:val="004B2639"/>
    <w:rsid w:val="004B3066"/>
    <w:rsid w:val="004B3ECC"/>
    <w:rsid w:val="004B4AF9"/>
    <w:rsid w:val="004B5398"/>
    <w:rsid w:val="004B5495"/>
    <w:rsid w:val="004B714B"/>
    <w:rsid w:val="004B7478"/>
    <w:rsid w:val="004C0E42"/>
    <w:rsid w:val="004C3EFC"/>
    <w:rsid w:val="004C41AD"/>
    <w:rsid w:val="004C5AB4"/>
    <w:rsid w:val="004C5B54"/>
    <w:rsid w:val="004C6F13"/>
    <w:rsid w:val="004D0D5B"/>
    <w:rsid w:val="004D16F3"/>
    <w:rsid w:val="004D2811"/>
    <w:rsid w:val="004D3736"/>
    <w:rsid w:val="004D3C0A"/>
    <w:rsid w:val="004D3D63"/>
    <w:rsid w:val="004D57E6"/>
    <w:rsid w:val="004D6EE5"/>
    <w:rsid w:val="004D7829"/>
    <w:rsid w:val="004E2670"/>
    <w:rsid w:val="004E2679"/>
    <w:rsid w:val="004E4121"/>
    <w:rsid w:val="004E42DC"/>
    <w:rsid w:val="004E4540"/>
    <w:rsid w:val="004E7667"/>
    <w:rsid w:val="004F2BFA"/>
    <w:rsid w:val="004F33A5"/>
    <w:rsid w:val="004F5009"/>
    <w:rsid w:val="004F5BF6"/>
    <w:rsid w:val="004F5D6B"/>
    <w:rsid w:val="004F68F1"/>
    <w:rsid w:val="004F74C6"/>
    <w:rsid w:val="004F77EE"/>
    <w:rsid w:val="005016F2"/>
    <w:rsid w:val="00501F5E"/>
    <w:rsid w:val="00502786"/>
    <w:rsid w:val="005027F0"/>
    <w:rsid w:val="00503222"/>
    <w:rsid w:val="0050327B"/>
    <w:rsid w:val="00503929"/>
    <w:rsid w:val="00503FDE"/>
    <w:rsid w:val="005053B8"/>
    <w:rsid w:val="00505F56"/>
    <w:rsid w:val="00506750"/>
    <w:rsid w:val="005074B7"/>
    <w:rsid w:val="00507FE8"/>
    <w:rsid w:val="00511E88"/>
    <w:rsid w:val="00512DB7"/>
    <w:rsid w:val="00514CF6"/>
    <w:rsid w:val="00515226"/>
    <w:rsid w:val="00515A59"/>
    <w:rsid w:val="00515EFE"/>
    <w:rsid w:val="00516797"/>
    <w:rsid w:val="005179CC"/>
    <w:rsid w:val="00520167"/>
    <w:rsid w:val="00521290"/>
    <w:rsid w:val="005212CC"/>
    <w:rsid w:val="005234BC"/>
    <w:rsid w:val="00523722"/>
    <w:rsid w:val="00524E17"/>
    <w:rsid w:val="00525018"/>
    <w:rsid w:val="0052534D"/>
    <w:rsid w:val="0052559F"/>
    <w:rsid w:val="00525ADE"/>
    <w:rsid w:val="0052772D"/>
    <w:rsid w:val="00530AFD"/>
    <w:rsid w:val="00531354"/>
    <w:rsid w:val="00531709"/>
    <w:rsid w:val="00531EEB"/>
    <w:rsid w:val="0053306F"/>
    <w:rsid w:val="00533967"/>
    <w:rsid w:val="00533EBF"/>
    <w:rsid w:val="00534311"/>
    <w:rsid w:val="00536DE7"/>
    <w:rsid w:val="00537907"/>
    <w:rsid w:val="00540713"/>
    <w:rsid w:val="00541482"/>
    <w:rsid w:val="00541FEC"/>
    <w:rsid w:val="00542E2C"/>
    <w:rsid w:val="005434D1"/>
    <w:rsid w:val="0054525A"/>
    <w:rsid w:val="005452E3"/>
    <w:rsid w:val="005455CC"/>
    <w:rsid w:val="005459A4"/>
    <w:rsid w:val="00545A3B"/>
    <w:rsid w:val="005467A9"/>
    <w:rsid w:val="005504FD"/>
    <w:rsid w:val="00551B7E"/>
    <w:rsid w:val="00553587"/>
    <w:rsid w:val="00555ADE"/>
    <w:rsid w:val="005561BC"/>
    <w:rsid w:val="00556AE0"/>
    <w:rsid w:val="00556EBD"/>
    <w:rsid w:val="00557473"/>
    <w:rsid w:val="00557FD0"/>
    <w:rsid w:val="005627A6"/>
    <w:rsid w:val="00563498"/>
    <w:rsid w:val="005638A1"/>
    <w:rsid w:val="00564040"/>
    <w:rsid w:val="0056430F"/>
    <w:rsid w:val="00564BB8"/>
    <w:rsid w:val="00566045"/>
    <w:rsid w:val="005678F9"/>
    <w:rsid w:val="00572815"/>
    <w:rsid w:val="00574A0D"/>
    <w:rsid w:val="00575235"/>
    <w:rsid w:val="0057654C"/>
    <w:rsid w:val="00577871"/>
    <w:rsid w:val="00577A0B"/>
    <w:rsid w:val="00577AA7"/>
    <w:rsid w:val="00580415"/>
    <w:rsid w:val="00580A7C"/>
    <w:rsid w:val="00580EE9"/>
    <w:rsid w:val="005812CC"/>
    <w:rsid w:val="0058210F"/>
    <w:rsid w:val="00583EE5"/>
    <w:rsid w:val="00583F74"/>
    <w:rsid w:val="005845F9"/>
    <w:rsid w:val="005856E0"/>
    <w:rsid w:val="00586E7F"/>
    <w:rsid w:val="00587122"/>
    <w:rsid w:val="005872F8"/>
    <w:rsid w:val="00590E9A"/>
    <w:rsid w:val="00590FA5"/>
    <w:rsid w:val="0059275F"/>
    <w:rsid w:val="005930AA"/>
    <w:rsid w:val="00593441"/>
    <w:rsid w:val="005934FC"/>
    <w:rsid w:val="00593C4E"/>
    <w:rsid w:val="005945CD"/>
    <w:rsid w:val="00594683"/>
    <w:rsid w:val="00596B28"/>
    <w:rsid w:val="00597B04"/>
    <w:rsid w:val="005A00FD"/>
    <w:rsid w:val="005A07E6"/>
    <w:rsid w:val="005A0A80"/>
    <w:rsid w:val="005A1583"/>
    <w:rsid w:val="005A1F03"/>
    <w:rsid w:val="005A2DBF"/>
    <w:rsid w:val="005A32D2"/>
    <w:rsid w:val="005A3759"/>
    <w:rsid w:val="005A4F3F"/>
    <w:rsid w:val="005A6A00"/>
    <w:rsid w:val="005A7159"/>
    <w:rsid w:val="005B1964"/>
    <w:rsid w:val="005B1E7A"/>
    <w:rsid w:val="005B1FF2"/>
    <w:rsid w:val="005B2DC0"/>
    <w:rsid w:val="005B3B8D"/>
    <w:rsid w:val="005B3D4F"/>
    <w:rsid w:val="005B4158"/>
    <w:rsid w:val="005B6C11"/>
    <w:rsid w:val="005B7710"/>
    <w:rsid w:val="005B7832"/>
    <w:rsid w:val="005B7965"/>
    <w:rsid w:val="005C1690"/>
    <w:rsid w:val="005C1FFC"/>
    <w:rsid w:val="005C251E"/>
    <w:rsid w:val="005C253B"/>
    <w:rsid w:val="005C2C0E"/>
    <w:rsid w:val="005C2E62"/>
    <w:rsid w:val="005C3E89"/>
    <w:rsid w:val="005C4A29"/>
    <w:rsid w:val="005C4FC7"/>
    <w:rsid w:val="005C568E"/>
    <w:rsid w:val="005C5BFA"/>
    <w:rsid w:val="005C6772"/>
    <w:rsid w:val="005C698A"/>
    <w:rsid w:val="005C6A6E"/>
    <w:rsid w:val="005C6BA5"/>
    <w:rsid w:val="005C6E1F"/>
    <w:rsid w:val="005C7F6B"/>
    <w:rsid w:val="005D2613"/>
    <w:rsid w:val="005D4077"/>
    <w:rsid w:val="005D427F"/>
    <w:rsid w:val="005D4EE3"/>
    <w:rsid w:val="005D55B0"/>
    <w:rsid w:val="005D570A"/>
    <w:rsid w:val="005D648E"/>
    <w:rsid w:val="005D79FD"/>
    <w:rsid w:val="005E1820"/>
    <w:rsid w:val="005E2208"/>
    <w:rsid w:val="005E28CB"/>
    <w:rsid w:val="005E3993"/>
    <w:rsid w:val="005E3C3E"/>
    <w:rsid w:val="005E417E"/>
    <w:rsid w:val="005E5461"/>
    <w:rsid w:val="005E5841"/>
    <w:rsid w:val="005E5F6D"/>
    <w:rsid w:val="005E6342"/>
    <w:rsid w:val="005E6375"/>
    <w:rsid w:val="005E6F78"/>
    <w:rsid w:val="005F0D25"/>
    <w:rsid w:val="005F0E7B"/>
    <w:rsid w:val="005F0FB4"/>
    <w:rsid w:val="005F1949"/>
    <w:rsid w:val="005F47C3"/>
    <w:rsid w:val="005F5601"/>
    <w:rsid w:val="005F5FCF"/>
    <w:rsid w:val="005F62B8"/>
    <w:rsid w:val="005F6D4D"/>
    <w:rsid w:val="005F7ADC"/>
    <w:rsid w:val="005F7BD0"/>
    <w:rsid w:val="006005BA"/>
    <w:rsid w:val="00600A6B"/>
    <w:rsid w:val="00600BB9"/>
    <w:rsid w:val="006013A5"/>
    <w:rsid w:val="006014AF"/>
    <w:rsid w:val="006021DE"/>
    <w:rsid w:val="00602CE3"/>
    <w:rsid w:val="00602D38"/>
    <w:rsid w:val="00603940"/>
    <w:rsid w:val="0060416D"/>
    <w:rsid w:val="00604374"/>
    <w:rsid w:val="0060513E"/>
    <w:rsid w:val="00605859"/>
    <w:rsid w:val="00607175"/>
    <w:rsid w:val="00607477"/>
    <w:rsid w:val="006075A0"/>
    <w:rsid w:val="00607CF7"/>
    <w:rsid w:val="00607D1E"/>
    <w:rsid w:val="00616050"/>
    <w:rsid w:val="006168EA"/>
    <w:rsid w:val="006169AA"/>
    <w:rsid w:val="00620223"/>
    <w:rsid w:val="0062025A"/>
    <w:rsid w:val="00620BD0"/>
    <w:rsid w:val="006213CC"/>
    <w:rsid w:val="00621B37"/>
    <w:rsid w:val="00623D55"/>
    <w:rsid w:val="00624010"/>
    <w:rsid w:val="0062459E"/>
    <w:rsid w:val="00624CD7"/>
    <w:rsid w:val="00626084"/>
    <w:rsid w:val="00626858"/>
    <w:rsid w:val="00627DF1"/>
    <w:rsid w:val="006301F8"/>
    <w:rsid w:val="00630DFB"/>
    <w:rsid w:val="00631230"/>
    <w:rsid w:val="00632F9E"/>
    <w:rsid w:val="00633016"/>
    <w:rsid w:val="00633942"/>
    <w:rsid w:val="00633BCE"/>
    <w:rsid w:val="00634ED9"/>
    <w:rsid w:val="006357B5"/>
    <w:rsid w:val="006363F6"/>
    <w:rsid w:val="006377E5"/>
    <w:rsid w:val="00640B16"/>
    <w:rsid w:val="006412BE"/>
    <w:rsid w:val="00641CC2"/>
    <w:rsid w:val="006429DC"/>
    <w:rsid w:val="006439C5"/>
    <w:rsid w:val="00643F74"/>
    <w:rsid w:val="00644FC4"/>
    <w:rsid w:val="00645A6F"/>
    <w:rsid w:val="00645CCE"/>
    <w:rsid w:val="00645FEE"/>
    <w:rsid w:val="00646C05"/>
    <w:rsid w:val="006477A8"/>
    <w:rsid w:val="00650626"/>
    <w:rsid w:val="0065095F"/>
    <w:rsid w:val="00650963"/>
    <w:rsid w:val="006510D2"/>
    <w:rsid w:val="006518C1"/>
    <w:rsid w:val="00651F37"/>
    <w:rsid w:val="00652567"/>
    <w:rsid w:val="00652EF5"/>
    <w:rsid w:val="006550FE"/>
    <w:rsid w:val="006555CA"/>
    <w:rsid w:val="0065736C"/>
    <w:rsid w:val="00657C87"/>
    <w:rsid w:val="0066084A"/>
    <w:rsid w:val="00661DD7"/>
    <w:rsid w:val="006620C9"/>
    <w:rsid w:val="006621C3"/>
    <w:rsid w:val="006631E7"/>
    <w:rsid w:val="00663EA0"/>
    <w:rsid w:val="00664559"/>
    <w:rsid w:val="00666FC2"/>
    <w:rsid w:val="006703E3"/>
    <w:rsid w:val="006713C1"/>
    <w:rsid w:val="0067174D"/>
    <w:rsid w:val="006718D7"/>
    <w:rsid w:val="00671F37"/>
    <w:rsid w:val="0067308F"/>
    <w:rsid w:val="00673457"/>
    <w:rsid w:val="006736F3"/>
    <w:rsid w:val="00674040"/>
    <w:rsid w:val="0067568C"/>
    <w:rsid w:val="006763BE"/>
    <w:rsid w:val="006766AA"/>
    <w:rsid w:val="00676A49"/>
    <w:rsid w:val="00682731"/>
    <w:rsid w:val="00683B69"/>
    <w:rsid w:val="006852AE"/>
    <w:rsid w:val="0068647F"/>
    <w:rsid w:val="00686649"/>
    <w:rsid w:val="00687174"/>
    <w:rsid w:val="00690CBF"/>
    <w:rsid w:val="00690E8A"/>
    <w:rsid w:val="0069110E"/>
    <w:rsid w:val="00692505"/>
    <w:rsid w:val="00693331"/>
    <w:rsid w:val="006933C4"/>
    <w:rsid w:val="0069472C"/>
    <w:rsid w:val="0069576E"/>
    <w:rsid w:val="006959B9"/>
    <w:rsid w:val="0069682C"/>
    <w:rsid w:val="006A08D7"/>
    <w:rsid w:val="006A0B85"/>
    <w:rsid w:val="006A0F39"/>
    <w:rsid w:val="006A1E43"/>
    <w:rsid w:val="006A306E"/>
    <w:rsid w:val="006A39BD"/>
    <w:rsid w:val="006A4174"/>
    <w:rsid w:val="006A4838"/>
    <w:rsid w:val="006A5ACB"/>
    <w:rsid w:val="006A7169"/>
    <w:rsid w:val="006A7697"/>
    <w:rsid w:val="006A7AB0"/>
    <w:rsid w:val="006B169D"/>
    <w:rsid w:val="006B18E2"/>
    <w:rsid w:val="006B2C24"/>
    <w:rsid w:val="006B4CFA"/>
    <w:rsid w:val="006B6562"/>
    <w:rsid w:val="006B664D"/>
    <w:rsid w:val="006B6E11"/>
    <w:rsid w:val="006C0A9D"/>
    <w:rsid w:val="006C0C1A"/>
    <w:rsid w:val="006C23E4"/>
    <w:rsid w:val="006C2DC0"/>
    <w:rsid w:val="006C3D36"/>
    <w:rsid w:val="006C5071"/>
    <w:rsid w:val="006C524C"/>
    <w:rsid w:val="006C75C7"/>
    <w:rsid w:val="006D0FE0"/>
    <w:rsid w:val="006D10FC"/>
    <w:rsid w:val="006D18EF"/>
    <w:rsid w:val="006D226B"/>
    <w:rsid w:val="006D2A6F"/>
    <w:rsid w:val="006D2C94"/>
    <w:rsid w:val="006D3599"/>
    <w:rsid w:val="006D42EA"/>
    <w:rsid w:val="006D469A"/>
    <w:rsid w:val="006D4B4A"/>
    <w:rsid w:val="006D752C"/>
    <w:rsid w:val="006D7903"/>
    <w:rsid w:val="006D794B"/>
    <w:rsid w:val="006E066F"/>
    <w:rsid w:val="006E0921"/>
    <w:rsid w:val="006E1074"/>
    <w:rsid w:val="006E1399"/>
    <w:rsid w:val="006E13F9"/>
    <w:rsid w:val="006E17ED"/>
    <w:rsid w:val="006E1E1A"/>
    <w:rsid w:val="006E1F59"/>
    <w:rsid w:val="006E2575"/>
    <w:rsid w:val="006E35CE"/>
    <w:rsid w:val="006E4165"/>
    <w:rsid w:val="006E4C59"/>
    <w:rsid w:val="006E5CD1"/>
    <w:rsid w:val="006E7213"/>
    <w:rsid w:val="006E7638"/>
    <w:rsid w:val="006F06E5"/>
    <w:rsid w:val="006F0A9E"/>
    <w:rsid w:val="006F0FC9"/>
    <w:rsid w:val="006F213F"/>
    <w:rsid w:val="006F33B0"/>
    <w:rsid w:val="006F37EC"/>
    <w:rsid w:val="006F3886"/>
    <w:rsid w:val="006F4DD2"/>
    <w:rsid w:val="006F60A0"/>
    <w:rsid w:val="006F6EB1"/>
    <w:rsid w:val="00701789"/>
    <w:rsid w:val="00701DFC"/>
    <w:rsid w:val="0070495C"/>
    <w:rsid w:val="00704B33"/>
    <w:rsid w:val="0070589C"/>
    <w:rsid w:val="007072C9"/>
    <w:rsid w:val="00707F66"/>
    <w:rsid w:val="007103DF"/>
    <w:rsid w:val="00710B36"/>
    <w:rsid w:val="007120C1"/>
    <w:rsid w:val="00713429"/>
    <w:rsid w:val="00713507"/>
    <w:rsid w:val="0071489D"/>
    <w:rsid w:val="00715C88"/>
    <w:rsid w:val="00715FDD"/>
    <w:rsid w:val="00716D0E"/>
    <w:rsid w:val="00716EAD"/>
    <w:rsid w:val="0071784A"/>
    <w:rsid w:val="0072049E"/>
    <w:rsid w:val="00720B6B"/>
    <w:rsid w:val="007214F3"/>
    <w:rsid w:val="00721866"/>
    <w:rsid w:val="00721CC2"/>
    <w:rsid w:val="00722795"/>
    <w:rsid w:val="00723091"/>
    <w:rsid w:val="0072403F"/>
    <w:rsid w:val="00724723"/>
    <w:rsid w:val="00724FA9"/>
    <w:rsid w:val="0072755A"/>
    <w:rsid w:val="0073164A"/>
    <w:rsid w:val="0073185D"/>
    <w:rsid w:val="00731881"/>
    <w:rsid w:val="007327D4"/>
    <w:rsid w:val="00733A0C"/>
    <w:rsid w:val="00733B90"/>
    <w:rsid w:val="00734539"/>
    <w:rsid w:val="0073481B"/>
    <w:rsid w:val="0073511A"/>
    <w:rsid w:val="007376E6"/>
    <w:rsid w:val="00737F60"/>
    <w:rsid w:val="00740FAB"/>
    <w:rsid w:val="00741D51"/>
    <w:rsid w:val="00742857"/>
    <w:rsid w:val="00743552"/>
    <w:rsid w:val="007460D3"/>
    <w:rsid w:val="00751225"/>
    <w:rsid w:val="0075183C"/>
    <w:rsid w:val="00752405"/>
    <w:rsid w:val="00753D8C"/>
    <w:rsid w:val="00756D07"/>
    <w:rsid w:val="00756E48"/>
    <w:rsid w:val="007603B6"/>
    <w:rsid w:val="00760903"/>
    <w:rsid w:val="0076159E"/>
    <w:rsid w:val="00763978"/>
    <w:rsid w:val="00763D7B"/>
    <w:rsid w:val="00765101"/>
    <w:rsid w:val="007664CB"/>
    <w:rsid w:val="00767169"/>
    <w:rsid w:val="00767DCD"/>
    <w:rsid w:val="0077037D"/>
    <w:rsid w:val="007710BB"/>
    <w:rsid w:val="007712C9"/>
    <w:rsid w:val="00771F49"/>
    <w:rsid w:val="0077442C"/>
    <w:rsid w:val="00776AF0"/>
    <w:rsid w:val="00776CC4"/>
    <w:rsid w:val="00780ADE"/>
    <w:rsid w:val="00780E0B"/>
    <w:rsid w:val="00780F70"/>
    <w:rsid w:val="0078104B"/>
    <w:rsid w:val="00781B3A"/>
    <w:rsid w:val="00783382"/>
    <w:rsid w:val="007839AD"/>
    <w:rsid w:val="007855A1"/>
    <w:rsid w:val="00786ACF"/>
    <w:rsid w:val="00790BFB"/>
    <w:rsid w:val="00791BED"/>
    <w:rsid w:val="0079209D"/>
    <w:rsid w:val="00792C97"/>
    <w:rsid w:val="007944C7"/>
    <w:rsid w:val="00794A4C"/>
    <w:rsid w:val="00795614"/>
    <w:rsid w:val="007976CD"/>
    <w:rsid w:val="00797803"/>
    <w:rsid w:val="00797E8F"/>
    <w:rsid w:val="00797F7E"/>
    <w:rsid w:val="007A0AFE"/>
    <w:rsid w:val="007A145D"/>
    <w:rsid w:val="007A16D4"/>
    <w:rsid w:val="007A1A28"/>
    <w:rsid w:val="007A2623"/>
    <w:rsid w:val="007A3001"/>
    <w:rsid w:val="007A6040"/>
    <w:rsid w:val="007A66F9"/>
    <w:rsid w:val="007A6AFB"/>
    <w:rsid w:val="007A78B9"/>
    <w:rsid w:val="007A7E0C"/>
    <w:rsid w:val="007B0078"/>
    <w:rsid w:val="007B0B12"/>
    <w:rsid w:val="007B2DF1"/>
    <w:rsid w:val="007B2F38"/>
    <w:rsid w:val="007B3EFB"/>
    <w:rsid w:val="007B48E2"/>
    <w:rsid w:val="007B59F9"/>
    <w:rsid w:val="007B68ED"/>
    <w:rsid w:val="007B7E45"/>
    <w:rsid w:val="007B7F79"/>
    <w:rsid w:val="007C07BB"/>
    <w:rsid w:val="007C0F4B"/>
    <w:rsid w:val="007C14A5"/>
    <w:rsid w:val="007C1835"/>
    <w:rsid w:val="007C2E57"/>
    <w:rsid w:val="007C40AF"/>
    <w:rsid w:val="007C4232"/>
    <w:rsid w:val="007C4582"/>
    <w:rsid w:val="007C46F7"/>
    <w:rsid w:val="007C4FC8"/>
    <w:rsid w:val="007C58F0"/>
    <w:rsid w:val="007C6272"/>
    <w:rsid w:val="007C7558"/>
    <w:rsid w:val="007C76F9"/>
    <w:rsid w:val="007D073F"/>
    <w:rsid w:val="007D10B6"/>
    <w:rsid w:val="007D1AFC"/>
    <w:rsid w:val="007D1D7B"/>
    <w:rsid w:val="007D3850"/>
    <w:rsid w:val="007D49C7"/>
    <w:rsid w:val="007D4A16"/>
    <w:rsid w:val="007D57AF"/>
    <w:rsid w:val="007D5AC2"/>
    <w:rsid w:val="007D645D"/>
    <w:rsid w:val="007D64FF"/>
    <w:rsid w:val="007D734B"/>
    <w:rsid w:val="007D7C04"/>
    <w:rsid w:val="007E1F77"/>
    <w:rsid w:val="007E2470"/>
    <w:rsid w:val="007E3574"/>
    <w:rsid w:val="007E3C0E"/>
    <w:rsid w:val="007E4B38"/>
    <w:rsid w:val="007E55C3"/>
    <w:rsid w:val="007E5DCD"/>
    <w:rsid w:val="007E7B45"/>
    <w:rsid w:val="007E7EBC"/>
    <w:rsid w:val="007F0D3E"/>
    <w:rsid w:val="007F16B9"/>
    <w:rsid w:val="007F1E58"/>
    <w:rsid w:val="007F1EBE"/>
    <w:rsid w:val="007F1F60"/>
    <w:rsid w:val="007F307B"/>
    <w:rsid w:val="007F4F9F"/>
    <w:rsid w:val="007F5F3F"/>
    <w:rsid w:val="007F60E5"/>
    <w:rsid w:val="007F6396"/>
    <w:rsid w:val="008005CC"/>
    <w:rsid w:val="00801205"/>
    <w:rsid w:val="008015D0"/>
    <w:rsid w:val="0080197A"/>
    <w:rsid w:val="00801AA9"/>
    <w:rsid w:val="00802274"/>
    <w:rsid w:val="00802D04"/>
    <w:rsid w:val="00803483"/>
    <w:rsid w:val="0080400B"/>
    <w:rsid w:val="0080480A"/>
    <w:rsid w:val="00804FB8"/>
    <w:rsid w:val="00805508"/>
    <w:rsid w:val="0080588E"/>
    <w:rsid w:val="00806888"/>
    <w:rsid w:val="008069CC"/>
    <w:rsid w:val="00806BA3"/>
    <w:rsid w:val="00807D4A"/>
    <w:rsid w:val="00810C5C"/>
    <w:rsid w:val="00810DF0"/>
    <w:rsid w:val="00811B44"/>
    <w:rsid w:val="008124A5"/>
    <w:rsid w:val="008126F8"/>
    <w:rsid w:val="008135BE"/>
    <w:rsid w:val="008144A6"/>
    <w:rsid w:val="00814E36"/>
    <w:rsid w:val="00815713"/>
    <w:rsid w:val="0081586A"/>
    <w:rsid w:val="00815BAD"/>
    <w:rsid w:val="0081733C"/>
    <w:rsid w:val="00817407"/>
    <w:rsid w:val="0082037D"/>
    <w:rsid w:val="00820B3E"/>
    <w:rsid w:val="00820F6B"/>
    <w:rsid w:val="00821136"/>
    <w:rsid w:val="0082154A"/>
    <w:rsid w:val="00822163"/>
    <w:rsid w:val="00822402"/>
    <w:rsid w:val="008239CC"/>
    <w:rsid w:val="00826F9E"/>
    <w:rsid w:val="00827A89"/>
    <w:rsid w:val="00827E7E"/>
    <w:rsid w:val="00830444"/>
    <w:rsid w:val="00830A67"/>
    <w:rsid w:val="00831B55"/>
    <w:rsid w:val="0083217E"/>
    <w:rsid w:val="008322FD"/>
    <w:rsid w:val="00832FA4"/>
    <w:rsid w:val="00833B86"/>
    <w:rsid w:val="008342EB"/>
    <w:rsid w:val="008345D9"/>
    <w:rsid w:val="008374A4"/>
    <w:rsid w:val="00837CAC"/>
    <w:rsid w:val="00840125"/>
    <w:rsid w:val="00840C94"/>
    <w:rsid w:val="008419A9"/>
    <w:rsid w:val="00841D30"/>
    <w:rsid w:val="00842299"/>
    <w:rsid w:val="00842893"/>
    <w:rsid w:val="00843C5C"/>
    <w:rsid w:val="00845109"/>
    <w:rsid w:val="008453AB"/>
    <w:rsid w:val="00846947"/>
    <w:rsid w:val="00850C34"/>
    <w:rsid w:val="00852C13"/>
    <w:rsid w:val="00853A94"/>
    <w:rsid w:val="00854009"/>
    <w:rsid w:val="0085491E"/>
    <w:rsid w:val="00854E18"/>
    <w:rsid w:val="0085548B"/>
    <w:rsid w:val="008568B5"/>
    <w:rsid w:val="00857795"/>
    <w:rsid w:val="008605F2"/>
    <w:rsid w:val="00860929"/>
    <w:rsid w:val="00861041"/>
    <w:rsid w:val="008610F3"/>
    <w:rsid w:val="008611F5"/>
    <w:rsid w:val="008615A0"/>
    <w:rsid w:val="008615DA"/>
    <w:rsid w:val="00862C2E"/>
    <w:rsid w:val="00863B5B"/>
    <w:rsid w:val="00863D25"/>
    <w:rsid w:val="00864087"/>
    <w:rsid w:val="00865DD9"/>
    <w:rsid w:val="00865E92"/>
    <w:rsid w:val="00866350"/>
    <w:rsid w:val="00866BBD"/>
    <w:rsid w:val="008672CD"/>
    <w:rsid w:val="00867E22"/>
    <w:rsid w:val="00870B53"/>
    <w:rsid w:val="0087247F"/>
    <w:rsid w:val="00873F23"/>
    <w:rsid w:val="00874718"/>
    <w:rsid w:val="00874CD9"/>
    <w:rsid w:val="008750DA"/>
    <w:rsid w:val="0087621F"/>
    <w:rsid w:val="00876BC9"/>
    <w:rsid w:val="00877336"/>
    <w:rsid w:val="0088136E"/>
    <w:rsid w:val="00881D19"/>
    <w:rsid w:val="0088297B"/>
    <w:rsid w:val="00883E23"/>
    <w:rsid w:val="00886485"/>
    <w:rsid w:val="008876D5"/>
    <w:rsid w:val="00887EB0"/>
    <w:rsid w:val="008913F4"/>
    <w:rsid w:val="00891C8C"/>
    <w:rsid w:val="00892957"/>
    <w:rsid w:val="0089366B"/>
    <w:rsid w:val="00893B9F"/>
    <w:rsid w:val="00894AF5"/>
    <w:rsid w:val="00894CB1"/>
    <w:rsid w:val="00895574"/>
    <w:rsid w:val="008960E8"/>
    <w:rsid w:val="00896255"/>
    <w:rsid w:val="008962F8"/>
    <w:rsid w:val="008A02FB"/>
    <w:rsid w:val="008A041D"/>
    <w:rsid w:val="008A087B"/>
    <w:rsid w:val="008A18A1"/>
    <w:rsid w:val="008A213D"/>
    <w:rsid w:val="008A47E3"/>
    <w:rsid w:val="008A47FE"/>
    <w:rsid w:val="008A4A4D"/>
    <w:rsid w:val="008A5EF1"/>
    <w:rsid w:val="008A6DE5"/>
    <w:rsid w:val="008A6DFD"/>
    <w:rsid w:val="008A74A9"/>
    <w:rsid w:val="008B049D"/>
    <w:rsid w:val="008B076A"/>
    <w:rsid w:val="008B0808"/>
    <w:rsid w:val="008B20C8"/>
    <w:rsid w:val="008B33FF"/>
    <w:rsid w:val="008B3729"/>
    <w:rsid w:val="008B4ABB"/>
    <w:rsid w:val="008B5CCB"/>
    <w:rsid w:val="008B6CBB"/>
    <w:rsid w:val="008B6E1E"/>
    <w:rsid w:val="008C0BF5"/>
    <w:rsid w:val="008C1A94"/>
    <w:rsid w:val="008C246D"/>
    <w:rsid w:val="008C28F7"/>
    <w:rsid w:val="008C3AE5"/>
    <w:rsid w:val="008C40D4"/>
    <w:rsid w:val="008C4124"/>
    <w:rsid w:val="008C5161"/>
    <w:rsid w:val="008C5A0A"/>
    <w:rsid w:val="008C6338"/>
    <w:rsid w:val="008C7DC5"/>
    <w:rsid w:val="008D00C3"/>
    <w:rsid w:val="008D0A71"/>
    <w:rsid w:val="008D0EAD"/>
    <w:rsid w:val="008D1759"/>
    <w:rsid w:val="008D18AB"/>
    <w:rsid w:val="008D2031"/>
    <w:rsid w:val="008D34AC"/>
    <w:rsid w:val="008D416D"/>
    <w:rsid w:val="008D5727"/>
    <w:rsid w:val="008D6903"/>
    <w:rsid w:val="008D7161"/>
    <w:rsid w:val="008E4605"/>
    <w:rsid w:val="008E5943"/>
    <w:rsid w:val="008E5A03"/>
    <w:rsid w:val="008E6500"/>
    <w:rsid w:val="008E7642"/>
    <w:rsid w:val="008F1075"/>
    <w:rsid w:val="008F1836"/>
    <w:rsid w:val="008F1EEE"/>
    <w:rsid w:val="008F2056"/>
    <w:rsid w:val="008F2B73"/>
    <w:rsid w:val="008F2F60"/>
    <w:rsid w:val="008F4AFF"/>
    <w:rsid w:val="008F4F57"/>
    <w:rsid w:val="008F5426"/>
    <w:rsid w:val="008F6159"/>
    <w:rsid w:val="00901FEC"/>
    <w:rsid w:val="00903D63"/>
    <w:rsid w:val="00904794"/>
    <w:rsid w:val="00906E2C"/>
    <w:rsid w:val="009121E4"/>
    <w:rsid w:val="009127BD"/>
    <w:rsid w:val="00914666"/>
    <w:rsid w:val="0091605A"/>
    <w:rsid w:val="00916937"/>
    <w:rsid w:val="00917764"/>
    <w:rsid w:val="00917A99"/>
    <w:rsid w:val="00917E4E"/>
    <w:rsid w:val="00917F12"/>
    <w:rsid w:val="009203AE"/>
    <w:rsid w:val="009205ED"/>
    <w:rsid w:val="009207BC"/>
    <w:rsid w:val="0092120F"/>
    <w:rsid w:val="009218F1"/>
    <w:rsid w:val="009233FA"/>
    <w:rsid w:val="00923A55"/>
    <w:rsid w:val="0092452D"/>
    <w:rsid w:val="0092474B"/>
    <w:rsid w:val="00926B3E"/>
    <w:rsid w:val="00926DC2"/>
    <w:rsid w:val="0092785E"/>
    <w:rsid w:val="00927DA2"/>
    <w:rsid w:val="009307D0"/>
    <w:rsid w:val="00933F5A"/>
    <w:rsid w:val="00934019"/>
    <w:rsid w:val="00935909"/>
    <w:rsid w:val="00935C9C"/>
    <w:rsid w:val="00936157"/>
    <w:rsid w:val="00936CEE"/>
    <w:rsid w:val="00940BBF"/>
    <w:rsid w:val="00941065"/>
    <w:rsid w:val="009412AB"/>
    <w:rsid w:val="00941839"/>
    <w:rsid w:val="00942819"/>
    <w:rsid w:val="00942B85"/>
    <w:rsid w:val="00942BF0"/>
    <w:rsid w:val="009439B2"/>
    <w:rsid w:val="00943D7F"/>
    <w:rsid w:val="00944638"/>
    <w:rsid w:val="0094677A"/>
    <w:rsid w:val="00946EE4"/>
    <w:rsid w:val="0094790B"/>
    <w:rsid w:val="00950047"/>
    <w:rsid w:val="00950D5E"/>
    <w:rsid w:val="00951797"/>
    <w:rsid w:val="00952013"/>
    <w:rsid w:val="009538D2"/>
    <w:rsid w:val="00954135"/>
    <w:rsid w:val="00954839"/>
    <w:rsid w:val="00955224"/>
    <w:rsid w:val="00955845"/>
    <w:rsid w:val="00955F46"/>
    <w:rsid w:val="00956F99"/>
    <w:rsid w:val="009613CF"/>
    <w:rsid w:val="00961C87"/>
    <w:rsid w:val="00962C03"/>
    <w:rsid w:val="00963477"/>
    <w:rsid w:val="00965AD3"/>
    <w:rsid w:val="00965EDD"/>
    <w:rsid w:val="00966DFD"/>
    <w:rsid w:val="009700D8"/>
    <w:rsid w:val="00972431"/>
    <w:rsid w:val="00974173"/>
    <w:rsid w:val="00974D62"/>
    <w:rsid w:val="009756C1"/>
    <w:rsid w:val="00976DAB"/>
    <w:rsid w:val="00977A0E"/>
    <w:rsid w:val="00981415"/>
    <w:rsid w:val="00981D1A"/>
    <w:rsid w:val="00981FA0"/>
    <w:rsid w:val="0098281D"/>
    <w:rsid w:val="00982FB5"/>
    <w:rsid w:val="0098338B"/>
    <w:rsid w:val="009836A3"/>
    <w:rsid w:val="00983B9E"/>
    <w:rsid w:val="00983DF5"/>
    <w:rsid w:val="00984CA8"/>
    <w:rsid w:val="00985131"/>
    <w:rsid w:val="00987064"/>
    <w:rsid w:val="009875C6"/>
    <w:rsid w:val="009900FD"/>
    <w:rsid w:val="0099243B"/>
    <w:rsid w:val="00992A40"/>
    <w:rsid w:val="00993B65"/>
    <w:rsid w:val="00993DAE"/>
    <w:rsid w:val="00994528"/>
    <w:rsid w:val="00995DDA"/>
    <w:rsid w:val="00996859"/>
    <w:rsid w:val="00996BBF"/>
    <w:rsid w:val="00997570"/>
    <w:rsid w:val="00997618"/>
    <w:rsid w:val="00997EB5"/>
    <w:rsid w:val="009A004D"/>
    <w:rsid w:val="009A1538"/>
    <w:rsid w:val="009A1693"/>
    <w:rsid w:val="009A45D9"/>
    <w:rsid w:val="009A694B"/>
    <w:rsid w:val="009A6AE5"/>
    <w:rsid w:val="009B11B5"/>
    <w:rsid w:val="009B1EA4"/>
    <w:rsid w:val="009B260E"/>
    <w:rsid w:val="009B5247"/>
    <w:rsid w:val="009B67CB"/>
    <w:rsid w:val="009B6C40"/>
    <w:rsid w:val="009B7DCD"/>
    <w:rsid w:val="009B7EDF"/>
    <w:rsid w:val="009C1281"/>
    <w:rsid w:val="009C28B5"/>
    <w:rsid w:val="009C2E74"/>
    <w:rsid w:val="009C3ECE"/>
    <w:rsid w:val="009C406E"/>
    <w:rsid w:val="009C40D2"/>
    <w:rsid w:val="009C7395"/>
    <w:rsid w:val="009C7D89"/>
    <w:rsid w:val="009D1AF2"/>
    <w:rsid w:val="009D1E88"/>
    <w:rsid w:val="009D2E29"/>
    <w:rsid w:val="009D2EE0"/>
    <w:rsid w:val="009D50C7"/>
    <w:rsid w:val="009E0342"/>
    <w:rsid w:val="009E176D"/>
    <w:rsid w:val="009E183C"/>
    <w:rsid w:val="009E31E3"/>
    <w:rsid w:val="009E3C22"/>
    <w:rsid w:val="009E750F"/>
    <w:rsid w:val="009E7873"/>
    <w:rsid w:val="009E7D66"/>
    <w:rsid w:val="009F005F"/>
    <w:rsid w:val="009F08F6"/>
    <w:rsid w:val="009F3169"/>
    <w:rsid w:val="009F38FB"/>
    <w:rsid w:val="009F497F"/>
    <w:rsid w:val="009F6F0E"/>
    <w:rsid w:val="009F744D"/>
    <w:rsid w:val="00A01B04"/>
    <w:rsid w:val="00A020B9"/>
    <w:rsid w:val="00A02E0E"/>
    <w:rsid w:val="00A034B0"/>
    <w:rsid w:val="00A03A2C"/>
    <w:rsid w:val="00A03E44"/>
    <w:rsid w:val="00A0405B"/>
    <w:rsid w:val="00A0456D"/>
    <w:rsid w:val="00A04BD3"/>
    <w:rsid w:val="00A051C3"/>
    <w:rsid w:val="00A0540C"/>
    <w:rsid w:val="00A05D6F"/>
    <w:rsid w:val="00A060AF"/>
    <w:rsid w:val="00A061F0"/>
    <w:rsid w:val="00A0763F"/>
    <w:rsid w:val="00A10BA3"/>
    <w:rsid w:val="00A11535"/>
    <w:rsid w:val="00A12C6D"/>
    <w:rsid w:val="00A12CC4"/>
    <w:rsid w:val="00A132F0"/>
    <w:rsid w:val="00A139FB"/>
    <w:rsid w:val="00A15A4E"/>
    <w:rsid w:val="00A162A1"/>
    <w:rsid w:val="00A1739A"/>
    <w:rsid w:val="00A20263"/>
    <w:rsid w:val="00A22C0C"/>
    <w:rsid w:val="00A23AA6"/>
    <w:rsid w:val="00A24A6F"/>
    <w:rsid w:val="00A2502F"/>
    <w:rsid w:val="00A2585A"/>
    <w:rsid w:val="00A258D2"/>
    <w:rsid w:val="00A26E29"/>
    <w:rsid w:val="00A27C58"/>
    <w:rsid w:val="00A27D68"/>
    <w:rsid w:val="00A3002F"/>
    <w:rsid w:val="00A3148A"/>
    <w:rsid w:val="00A31E60"/>
    <w:rsid w:val="00A31F42"/>
    <w:rsid w:val="00A33089"/>
    <w:rsid w:val="00A33231"/>
    <w:rsid w:val="00A33550"/>
    <w:rsid w:val="00A33784"/>
    <w:rsid w:val="00A33BA9"/>
    <w:rsid w:val="00A3539F"/>
    <w:rsid w:val="00A358E4"/>
    <w:rsid w:val="00A35E40"/>
    <w:rsid w:val="00A41D96"/>
    <w:rsid w:val="00A423A9"/>
    <w:rsid w:val="00A425E9"/>
    <w:rsid w:val="00A428B1"/>
    <w:rsid w:val="00A4389D"/>
    <w:rsid w:val="00A4452F"/>
    <w:rsid w:val="00A47969"/>
    <w:rsid w:val="00A504D6"/>
    <w:rsid w:val="00A50753"/>
    <w:rsid w:val="00A51693"/>
    <w:rsid w:val="00A51A41"/>
    <w:rsid w:val="00A528FE"/>
    <w:rsid w:val="00A530F3"/>
    <w:rsid w:val="00A5328A"/>
    <w:rsid w:val="00A532B2"/>
    <w:rsid w:val="00A5395E"/>
    <w:rsid w:val="00A53A2B"/>
    <w:rsid w:val="00A54B88"/>
    <w:rsid w:val="00A555C7"/>
    <w:rsid w:val="00A5584A"/>
    <w:rsid w:val="00A559A5"/>
    <w:rsid w:val="00A55F92"/>
    <w:rsid w:val="00A577BB"/>
    <w:rsid w:val="00A57AB7"/>
    <w:rsid w:val="00A57AEA"/>
    <w:rsid w:val="00A60B72"/>
    <w:rsid w:val="00A60EFE"/>
    <w:rsid w:val="00A613CC"/>
    <w:rsid w:val="00A62DB5"/>
    <w:rsid w:val="00A65F79"/>
    <w:rsid w:val="00A661C8"/>
    <w:rsid w:val="00A663B6"/>
    <w:rsid w:val="00A679A1"/>
    <w:rsid w:val="00A702F1"/>
    <w:rsid w:val="00A70B35"/>
    <w:rsid w:val="00A7255A"/>
    <w:rsid w:val="00A74CBC"/>
    <w:rsid w:val="00A7523A"/>
    <w:rsid w:val="00A755BB"/>
    <w:rsid w:val="00A75723"/>
    <w:rsid w:val="00A76665"/>
    <w:rsid w:val="00A76F0F"/>
    <w:rsid w:val="00A80652"/>
    <w:rsid w:val="00A806FD"/>
    <w:rsid w:val="00A80A09"/>
    <w:rsid w:val="00A82997"/>
    <w:rsid w:val="00A83C1E"/>
    <w:rsid w:val="00A83E20"/>
    <w:rsid w:val="00A84109"/>
    <w:rsid w:val="00A84F10"/>
    <w:rsid w:val="00A84F35"/>
    <w:rsid w:val="00A850C3"/>
    <w:rsid w:val="00A85B1E"/>
    <w:rsid w:val="00A87D82"/>
    <w:rsid w:val="00A87F4F"/>
    <w:rsid w:val="00A9121D"/>
    <w:rsid w:val="00A919C7"/>
    <w:rsid w:val="00A91D74"/>
    <w:rsid w:val="00A92E4D"/>
    <w:rsid w:val="00A93424"/>
    <w:rsid w:val="00A93A6A"/>
    <w:rsid w:val="00A93C3F"/>
    <w:rsid w:val="00A94292"/>
    <w:rsid w:val="00A95214"/>
    <w:rsid w:val="00A95C57"/>
    <w:rsid w:val="00A95FCD"/>
    <w:rsid w:val="00A9617B"/>
    <w:rsid w:val="00A96C1E"/>
    <w:rsid w:val="00AA08A6"/>
    <w:rsid w:val="00AA23C0"/>
    <w:rsid w:val="00AA2F32"/>
    <w:rsid w:val="00AA3508"/>
    <w:rsid w:val="00AA4525"/>
    <w:rsid w:val="00AA4634"/>
    <w:rsid w:val="00AA5371"/>
    <w:rsid w:val="00AA5568"/>
    <w:rsid w:val="00AA6092"/>
    <w:rsid w:val="00AA6D28"/>
    <w:rsid w:val="00AA715C"/>
    <w:rsid w:val="00AA7AF0"/>
    <w:rsid w:val="00AB1AEB"/>
    <w:rsid w:val="00AB37BE"/>
    <w:rsid w:val="00AB4BCB"/>
    <w:rsid w:val="00AB4C7C"/>
    <w:rsid w:val="00AB5D65"/>
    <w:rsid w:val="00AB671B"/>
    <w:rsid w:val="00AB6795"/>
    <w:rsid w:val="00AB67E7"/>
    <w:rsid w:val="00AB69C3"/>
    <w:rsid w:val="00AB73F2"/>
    <w:rsid w:val="00AC0764"/>
    <w:rsid w:val="00AC18F1"/>
    <w:rsid w:val="00AC2EC6"/>
    <w:rsid w:val="00AC3D7E"/>
    <w:rsid w:val="00AC579D"/>
    <w:rsid w:val="00AD0E03"/>
    <w:rsid w:val="00AD0F9A"/>
    <w:rsid w:val="00AD15AB"/>
    <w:rsid w:val="00AD1F22"/>
    <w:rsid w:val="00AD20F5"/>
    <w:rsid w:val="00AD2C79"/>
    <w:rsid w:val="00AD2E29"/>
    <w:rsid w:val="00AD2EF7"/>
    <w:rsid w:val="00AD38C7"/>
    <w:rsid w:val="00AD49D6"/>
    <w:rsid w:val="00AD4B5C"/>
    <w:rsid w:val="00AD4E75"/>
    <w:rsid w:val="00AD5E79"/>
    <w:rsid w:val="00AD66C1"/>
    <w:rsid w:val="00AD67BC"/>
    <w:rsid w:val="00AD7637"/>
    <w:rsid w:val="00AD78D7"/>
    <w:rsid w:val="00AE1E2E"/>
    <w:rsid w:val="00AE4D4E"/>
    <w:rsid w:val="00AE517E"/>
    <w:rsid w:val="00AE7354"/>
    <w:rsid w:val="00AF0879"/>
    <w:rsid w:val="00AF134F"/>
    <w:rsid w:val="00AF189F"/>
    <w:rsid w:val="00AF343E"/>
    <w:rsid w:val="00AF377C"/>
    <w:rsid w:val="00AF44FD"/>
    <w:rsid w:val="00AF4B5C"/>
    <w:rsid w:val="00AF56EE"/>
    <w:rsid w:val="00AF5CFB"/>
    <w:rsid w:val="00AF5D10"/>
    <w:rsid w:val="00AF5F40"/>
    <w:rsid w:val="00AF6ADA"/>
    <w:rsid w:val="00AF71B4"/>
    <w:rsid w:val="00AF7223"/>
    <w:rsid w:val="00B01442"/>
    <w:rsid w:val="00B01D6F"/>
    <w:rsid w:val="00B02C50"/>
    <w:rsid w:val="00B03F45"/>
    <w:rsid w:val="00B04C30"/>
    <w:rsid w:val="00B051CD"/>
    <w:rsid w:val="00B05371"/>
    <w:rsid w:val="00B05596"/>
    <w:rsid w:val="00B055C8"/>
    <w:rsid w:val="00B06EC6"/>
    <w:rsid w:val="00B0727A"/>
    <w:rsid w:val="00B10090"/>
    <w:rsid w:val="00B1021A"/>
    <w:rsid w:val="00B10576"/>
    <w:rsid w:val="00B127BF"/>
    <w:rsid w:val="00B16973"/>
    <w:rsid w:val="00B16CEC"/>
    <w:rsid w:val="00B1772B"/>
    <w:rsid w:val="00B1777E"/>
    <w:rsid w:val="00B21E4F"/>
    <w:rsid w:val="00B21F69"/>
    <w:rsid w:val="00B22DAC"/>
    <w:rsid w:val="00B23FE4"/>
    <w:rsid w:val="00B24074"/>
    <w:rsid w:val="00B24B68"/>
    <w:rsid w:val="00B25C97"/>
    <w:rsid w:val="00B30972"/>
    <w:rsid w:val="00B31790"/>
    <w:rsid w:val="00B31C4B"/>
    <w:rsid w:val="00B324B8"/>
    <w:rsid w:val="00B33090"/>
    <w:rsid w:val="00B34069"/>
    <w:rsid w:val="00B3565B"/>
    <w:rsid w:val="00B35746"/>
    <w:rsid w:val="00B35E1B"/>
    <w:rsid w:val="00B36318"/>
    <w:rsid w:val="00B36E36"/>
    <w:rsid w:val="00B37229"/>
    <w:rsid w:val="00B37CE1"/>
    <w:rsid w:val="00B40478"/>
    <w:rsid w:val="00B4048D"/>
    <w:rsid w:val="00B40B62"/>
    <w:rsid w:val="00B414DA"/>
    <w:rsid w:val="00B41FED"/>
    <w:rsid w:val="00B425B1"/>
    <w:rsid w:val="00B4284A"/>
    <w:rsid w:val="00B444EC"/>
    <w:rsid w:val="00B44F83"/>
    <w:rsid w:val="00B45FB9"/>
    <w:rsid w:val="00B4692A"/>
    <w:rsid w:val="00B47B66"/>
    <w:rsid w:val="00B5078B"/>
    <w:rsid w:val="00B5129B"/>
    <w:rsid w:val="00B51C4C"/>
    <w:rsid w:val="00B52449"/>
    <w:rsid w:val="00B535A1"/>
    <w:rsid w:val="00B545BD"/>
    <w:rsid w:val="00B55D2C"/>
    <w:rsid w:val="00B56182"/>
    <w:rsid w:val="00B57204"/>
    <w:rsid w:val="00B5737F"/>
    <w:rsid w:val="00B57C5E"/>
    <w:rsid w:val="00B57EF7"/>
    <w:rsid w:val="00B57FBF"/>
    <w:rsid w:val="00B605A2"/>
    <w:rsid w:val="00B610B5"/>
    <w:rsid w:val="00B61AEC"/>
    <w:rsid w:val="00B627AF"/>
    <w:rsid w:val="00B62E3B"/>
    <w:rsid w:val="00B64453"/>
    <w:rsid w:val="00B6470B"/>
    <w:rsid w:val="00B65348"/>
    <w:rsid w:val="00B65EC0"/>
    <w:rsid w:val="00B65FF7"/>
    <w:rsid w:val="00B666FA"/>
    <w:rsid w:val="00B70167"/>
    <w:rsid w:val="00B70815"/>
    <w:rsid w:val="00B70D48"/>
    <w:rsid w:val="00B70DD6"/>
    <w:rsid w:val="00B72983"/>
    <w:rsid w:val="00B72A77"/>
    <w:rsid w:val="00B72A86"/>
    <w:rsid w:val="00B73D64"/>
    <w:rsid w:val="00B74359"/>
    <w:rsid w:val="00B745E1"/>
    <w:rsid w:val="00B756FE"/>
    <w:rsid w:val="00B75D95"/>
    <w:rsid w:val="00B7755E"/>
    <w:rsid w:val="00B7794A"/>
    <w:rsid w:val="00B80A9F"/>
    <w:rsid w:val="00B81873"/>
    <w:rsid w:val="00B82608"/>
    <w:rsid w:val="00B829B6"/>
    <w:rsid w:val="00B83C78"/>
    <w:rsid w:val="00B84CB9"/>
    <w:rsid w:val="00B85700"/>
    <w:rsid w:val="00B86900"/>
    <w:rsid w:val="00B86A9B"/>
    <w:rsid w:val="00B86FB0"/>
    <w:rsid w:val="00B87020"/>
    <w:rsid w:val="00B903BD"/>
    <w:rsid w:val="00B90808"/>
    <w:rsid w:val="00B90BA5"/>
    <w:rsid w:val="00B90C9E"/>
    <w:rsid w:val="00B91198"/>
    <w:rsid w:val="00B97A26"/>
    <w:rsid w:val="00BA0534"/>
    <w:rsid w:val="00BA077F"/>
    <w:rsid w:val="00BA0BDC"/>
    <w:rsid w:val="00BA1A99"/>
    <w:rsid w:val="00BA4464"/>
    <w:rsid w:val="00BA64FE"/>
    <w:rsid w:val="00BA6D48"/>
    <w:rsid w:val="00BA77BD"/>
    <w:rsid w:val="00BB122F"/>
    <w:rsid w:val="00BB13AC"/>
    <w:rsid w:val="00BB1DEB"/>
    <w:rsid w:val="00BB1F8E"/>
    <w:rsid w:val="00BB2321"/>
    <w:rsid w:val="00BB2523"/>
    <w:rsid w:val="00BB2D8F"/>
    <w:rsid w:val="00BB2EA5"/>
    <w:rsid w:val="00BB3081"/>
    <w:rsid w:val="00BB321F"/>
    <w:rsid w:val="00BB5134"/>
    <w:rsid w:val="00BB6C30"/>
    <w:rsid w:val="00BB6F24"/>
    <w:rsid w:val="00BB714A"/>
    <w:rsid w:val="00BC3574"/>
    <w:rsid w:val="00BC4132"/>
    <w:rsid w:val="00BC5837"/>
    <w:rsid w:val="00BC6FAC"/>
    <w:rsid w:val="00BD03D7"/>
    <w:rsid w:val="00BD06F1"/>
    <w:rsid w:val="00BD0BC5"/>
    <w:rsid w:val="00BD1898"/>
    <w:rsid w:val="00BD3118"/>
    <w:rsid w:val="00BD3374"/>
    <w:rsid w:val="00BD3465"/>
    <w:rsid w:val="00BD3654"/>
    <w:rsid w:val="00BD3C1F"/>
    <w:rsid w:val="00BD3E63"/>
    <w:rsid w:val="00BD41CE"/>
    <w:rsid w:val="00BD50ED"/>
    <w:rsid w:val="00BD5CAF"/>
    <w:rsid w:val="00BD5E2A"/>
    <w:rsid w:val="00BD63F5"/>
    <w:rsid w:val="00BD710E"/>
    <w:rsid w:val="00BD7233"/>
    <w:rsid w:val="00BE0FE2"/>
    <w:rsid w:val="00BE1A27"/>
    <w:rsid w:val="00BE2FE7"/>
    <w:rsid w:val="00BE72AE"/>
    <w:rsid w:val="00BE73D9"/>
    <w:rsid w:val="00BF009C"/>
    <w:rsid w:val="00BF2CD6"/>
    <w:rsid w:val="00BF48E9"/>
    <w:rsid w:val="00BF5166"/>
    <w:rsid w:val="00BF70A4"/>
    <w:rsid w:val="00C0071D"/>
    <w:rsid w:val="00C01FEF"/>
    <w:rsid w:val="00C0209B"/>
    <w:rsid w:val="00C020A3"/>
    <w:rsid w:val="00C02AFE"/>
    <w:rsid w:val="00C03E9D"/>
    <w:rsid w:val="00C05A69"/>
    <w:rsid w:val="00C07AEF"/>
    <w:rsid w:val="00C10B8B"/>
    <w:rsid w:val="00C11031"/>
    <w:rsid w:val="00C11274"/>
    <w:rsid w:val="00C116BD"/>
    <w:rsid w:val="00C116DE"/>
    <w:rsid w:val="00C11939"/>
    <w:rsid w:val="00C11F3D"/>
    <w:rsid w:val="00C144F0"/>
    <w:rsid w:val="00C15614"/>
    <w:rsid w:val="00C16FC7"/>
    <w:rsid w:val="00C175D8"/>
    <w:rsid w:val="00C178CD"/>
    <w:rsid w:val="00C17D23"/>
    <w:rsid w:val="00C20BC1"/>
    <w:rsid w:val="00C20DC8"/>
    <w:rsid w:val="00C214D9"/>
    <w:rsid w:val="00C21E4B"/>
    <w:rsid w:val="00C22100"/>
    <w:rsid w:val="00C22DF6"/>
    <w:rsid w:val="00C237D1"/>
    <w:rsid w:val="00C2388A"/>
    <w:rsid w:val="00C241BE"/>
    <w:rsid w:val="00C24ABA"/>
    <w:rsid w:val="00C25592"/>
    <w:rsid w:val="00C25BF0"/>
    <w:rsid w:val="00C26866"/>
    <w:rsid w:val="00C301B7"/>
    <w:rsid w:val="00C30441"/>
    <w:rsid w:val="00C31DD1"/>
    <w:rsid w:val="00C31F6E"/>
    <w:rsid w:val="00C32265"/>
    <w:rsid w:val="00C326CC"/>
    <w:rsid w:val="00C32B43"/>
    <w:rsid w:val="00C33834"/>
    <w:rsid w:val="00C3435C"/>
    <w:rsid w:val="00C3466E"/>
    <w:rsid w:val="00C34CBA"/>
    <w:rsid w:val="00C354B8"/>
    <w:rsid w:val="00C358C4"/>
    <w:rsid w:val="00C40D24"/>
    <w:rsid w:val="00C44AE7"/>
    <w:rsid w:val="00C44F6A"/>
    <w:rsid w:val="00C45672"/>
    <w:rsid w:val="00C456D6"/>
    <w:rsid w:val="00C45A6C"/>
    <w:rsid w:val="00C45B89"/>
    <w:rsid w:val="00C4770D"/>
    <w:rsid w:val="00C50943"/>
    <w:rsid w:val="00C50B95"/>
    <w:rsid w:val="00C50FB7"/>
    <w:rsid w:val="00C51B73"/>
    <w:rsid w:val="00C52FE5"/>
    <w:rsid w:val="00C532C1"/>
    <w:rsid w:val="00C54CA5"/>
    <w:rsid w:val="00C55F6B"/>
    <w:rsid w:val="00C5640B"/>
    <w:rsid w:val="00C569B5"/>
    <w:rsid w:val="00C60779"/>
    <w:rsid w:val="00C61B93"/>
    <w:rsid w:val="00C6419E"/>
    <w:rsid w:val="00C642E6"/>
    <w:rsid w:val="00C64A45"/>
    <w:rsid w:val="00C65878"/>
    <w:rsid w:val="00C65E47"/>
    <w:rsid w:val="00C66903"/>
    <w:rsid w:val="00C66B52"/>
    <w:rsid w:val="00C67368"/>
    <w:rsid w:val="00C67699"/>
    <w:rsid w:val="00C67BE1"/>
    <w:rsid w:val="00C67E0E"/>
    <w:rsid w:val="00C71932"/>
    <w:rsid w:val="00C71D29"/>
    <w:rsid w:val="00C73D98"/>
    <w:rsid w:val="00C74149"/>
    <w:rsid w:val="00C75A64"/>
    <w:rsid w:val="00C764A2"/>
    <w:rsid w:val="00C77DBB"/>
    <w:rsid w:val="00C80C31"/>
    <w:rsid w:val="00C81139"/>
    <w:rsid w:val="00C81833"/>
    <w:rsid w:val="00C8318F"/>
    <w:rsid w:val="00C85150"/>
    <w:rsid w:val="00C8529F"/>
    <w:rsid w:val="00C858F1"/>
    <w:rsid w:val="00C8727A"/>
    <w:rsid w:val="00C8739C"/>
    <w:rsid w:val="00C8757D"/>
    <w:rsid w:val="00C87ABA"/>
    <w:rsid w:val="00C901AD"/>
    <w:rsid w:val="00C906A7"/>
    <w:rsid w:val="00C9289F"/>
    <w:rsid w:val="00C95798"/>
    <w:rsid w:val="00C95CDC"/>
    <w:rsid w:val="00C95E38"/>
    <w:rsid w:val="00C975C6"/>
    <w:rsid w:val="00C97788"/>
    <w:rsid w:val="00C977A1"/>
    <w:rsid w:val="00C979E0"/>
    <w:rsid w:val="00CA059A"/>
    <w:rsid w:val="00CA05E2"/>
    <w:rsid w:val="00CA0ED5"/>
    <w:rsid w:val="00CA215C"/>
    <w:rsid w:val="00CA2D7C"/>
    <w:rsid w:val="00CA41E4"/>
    <w:rsid w:val="00CA4485"/>
    <w:rsid w:val="00CA5BC2"/>
    <w:rsid w:val="00CA73BC"/>
    <w:rsid w:val="00CB14FE"/>
    <w:rsid w:val="00CB2C33"/>
    <w:rsid w:val="00CB3F45"/>
    <w:rsid w:val="00CB4DF2"/>
    <w:rsid w:val="00CB5E3C"/>
    <w:rsid w:val="00CB763C"/>
    <w:rsid w:val="00CC01FD"/>
    <w:rsid w:val="00CC0CE4"/>
    <w:rsid w:val="00CC0E0A"/>
    <w:rsid w:val="00CC0FB2"/>
    <w:rsid w:val="00CC1634"/>
    <w:rsid w:val="00CC2BA4"/>
    <w:rsid w:val="00CC33B5"/>
    <w:rsid w:val="00CC3B9C"/>
    <w:rsid w:val="00CC3F78"/>
    <w:rsid w:val="00CC424D"/>
    <w:rsid w:val="00CC51B8"/>
    <w:rsid w:val="00CC53F5"/>
    <w:rsid w:val="00CC5AE1"/>
    <w:rsid w:val="00CC5D17"/>
    <w:rsid w:val="00CC7D11"/>
    <w:rsid w:val="00CD0968"/>
    <w:rsid w:val="00CD130E"/>
    <w:rsid w:val="00CD1545"/>
    <w:rsid w:val="00CD2D9C"/>
    <w:rsid w:val="00CD316A"/>
    <w:rsid w:val="00CD3E61"/>
    <w:rsid w:val="00CD3FE8"/>
    <w:rsid w:val="00CD4C85"/>
    <w:rsid w:val="00CD541B"/>
    <w:rsid w:val="00CD5CBB"/>
    <w:rsid w:val="00CD66D4"/>
    <w:rsid w:val="00CD6BF3"/>
    <w:rsid w:val="00CD6C19"/>
    <w:rsid w:val="00CD7155"/>
    <w:rsid w:val="00CE0CA2"/>
    <w:rsid w:val="00CE1517"/>
    <w:rsid w:val="00CE1651"/>
    <w:rsid w:val="00CE2A8A"/>
    <w:rsid w:val="00CE3571"/>
    <w:rsid w:val="00CE42C1"/>
    <w:rsid w:val="00CE5104"/>
    <w:rsid w:val="00CE513A"/>
    <w:rsid w:val="00CE69C8"/>
    <w:rsid w:val="00CE6C64"/>
    <w:rsid w:val="00CE7044"/>
    <w:rsid w:val="00CE7C26"/>
    <w:rsid w:val="00CF0232"/>
    <w:rsid w:val="00CF070F"/>
    <w:rsid w:val="00CF1221"/>
    <w:rsid w:val="00CF2C8E"/>
    <w:rsid w:val="00CF4994"/>
    <w:rsid w:val="00CF54E5"/>
    <w:rsid w:val="00CF6C60"/>
    <w:rsid w:val="00CF709A"/>
    <w:rsid w:val="00CF76E8"/>
    <w:rsid w:val="00CF79BF"/>
    <w:rsid w:val="00D013E9"/>
    <w:rsid w:val="00D0154D"/>
    <w:rsid w:val="00D01B11"/>
    <w:rsid w:val="00D049D3"/>
    <w:rsid w:val="00D04DC5"/>
    <w:rsid w:val="00D04EEA"/>
    <w:rsid w:val="00D071A6"/>
    <w:rsid w:val="00D074E9"/>
    <w:rsid w:val="00D07AF4"/>
    <w:rsid w:val="00D10704"/>
    <w:rsid w:val="00D122C6"/>
    <w:rsid w:val="00D13C07"/>
    <w:rsid w:val="00D1426F"/>
    <w:rsid w:val="00D14A99"/>
    <w:rsid w:val="00D14AEC"/>
    <w:rsid w:val="00D151BF"/>
    <w:rsid w:val="00D1649C"/>
    <w:rsid w:val="00D17500"/>
    <w:rsid w:val="00D21789"/>
    <w:rsid w:val="00D217AB"/>
    <w:rsid w:val="00D21968"/>
    <w:rsid w:val="00D21BD5"/>
    <w:rsid w:val="00D2246B"/>
    <w:rsid w:val="00D24600"/>
    <w:rsid w:val="00D247CD"/>
    <w:rsid w:val="00D24DF0"/>
    <w:rsid w:val="00D25A64"/>
    <w:rsid w:val="00D262C9"/>
    <w:rsid w:val="00D266CB"/>
    <w:rsid w:val="00D26C0A"/>
    <w:rsid w:val="00D275F0"/>
    <w:rsid w:val="00D2767E"/>
    <w:rsid w:val="00D30206"/>
    <w:rsid w:val="00D308AC"/>
    <w:rsid w:val="00D30C31"/>
    <w:rsid w:val="00D30EB2"/>
    <w:rsid w:val="00D324DB"/>
    <w:rsid w:val="00D342E4"/>
    <w:rsid w:val="00D35385"/>
    <w:rsid w:val="00D3596B"/>
    <w:rsid w:val="00D3643E"/>
    <w:rsid w:val="00D36748"/>
    <w:rsid w:val="00D36DB3"/>
    <w:rsid w:val="00D373E1"/>
    <w:rsid w:val="00D37D2B"/>
    <w:rsid w:val="00D4108F"/>
    <w:rsid w:val="00D41CF7"/>
    <w:rsid w:val="00D4205A"/>
    <w:rsid w:val="00D43170"/>
    <w:rsid w:val="00D4326C"/>
    <w:rsid w:val="00D4373A"/>
    <w:rsid w:val="00D438B8"/>
    <w:rsid w:val="00D455B6"/>
    <w:rsid w:val="00D47AF1"/>
    <w:rsid w:val="00D47AF8"/>
    <w:rsid w:val="00D47CAE"/>
    <w:rsid w:val="00D51DAF"/>
    <w:rsid w:val="00D52141"/>
    <w:rsid w:val="00D5439C"/>
    <w:rsid w:val="00D55315"/>
    <w:rsid w:val="00D558CD"/>
    <w:rsid w:val="00D56B32"/>
    <w:rsid w:val="00D60CEE"/>
    <w:rsid w:val="00D60E38"/>
    <w:rsid w:val="00D61690"/>
    <w:rsid w:val="00D618E8"/>
    <w:rsid w:val="00D61DF0"/>
    <w:rsid w:val="00D62276"/>
    <w:rsid w:val="00D642D3"/>
    <w:rsid w:val="00D64A4A"/>
    <w:rsid w:val="00D6530F"/>
    <w:rsid w:val="00D6556B"/>
    <w:rsid w:val="00D659E2"/>
    <w:rsid w:val="00D65CDA"/>
    <w:rsid w:val="00D65D92"/>
    <w:rsid w:val="00D666D9"/>
    <w:rsid w:val="00D66B4A"/>
    <w:rsid w:val="00D66F77"/>
    <w:rsid w:val="00D67067"/>
    <w:rsid w:val="00D7189F"/>
    <w:rsid w:val="00D71AE1"/>
    <w:rsid w:val="00D72DC2"/>
    <w:rsid w:val="00D73F1A"/>
    <w:rsid w:val="00D7628F"/>
    <w:rsid w:val="00D7637A"/>
    <w:rsid w:val="00D769A1"/>
    <w:rsid w:val="00D76AAA"/>
    <w:rsid w:val="00D770F0"/>
    <w:rsid w:val="00D774CA"/>
    <w:rsid w:val="00D77B34"/>
    <w:rsid w:val="00D77CB5"/>
    <w:rsid w:val="00D77E20"/>
    <w:rsid w:val="00D800F6"/>
    <w:rsid w:val="00D803F2"/>
    <w:rsid w:val="00D80535"/>
    <w:rsid w:val="00D807E8"/>
    <w:rsid w:val="00D8135D"/>
    <w:rsid w:val="00D81F9B"/>
    <w:rsid w:val="00D82592"/>
    <w:rsid w:val="00D83234"/>
    <w:rsid w:val="00D845B5"/>
    <w:rsid w:val="00D84CD4"/>
    <w:rsid w:val="00D84D12"/>
    <w:rsid w:val="00D85A48"/>
    <w:rsid w:val="00D85B07"/>
    <w:rsid w:val="00D85E18"/>
    <w:rsid w:val="00D9006C"/>
    <w:rsid w:val="00D9071C"/>
    <w:rsid w:val="00D90E80"/>
    <w:rsid w:val="00D926C7"/>
    <w:rsid w:val="00D92E64"/>
    <w:rsid w:val="00D92FA9"/>
    <w:rsid w:val="00D9431A"/>
    <w:rsid w:val="00D95348"/>
    <w:rsid w:val="00D95477"/>
    <w:rsid w:val="00D96475"/>
    <w:rsid w:val="00D974AC"/>
    <w:rsid w:val="00DA1136"/>
    <w:rsid w:val="00DA19CD"/>
    <w:rsid w:val="00DA1CBA"/>
    <w:rsid w:val="00DA2192"/>
    <w:rsid w:val="00DA23A6"/>
    <w:rsid w:val="00DA23EF"/>
    <w:rsid w:val="00DA2794"/>
    <w:rsid w:val="00DA52C0"/>
    <w:rsid w:val="00DA5F6A"/>
    <w:rsid w:val="00DA6115"/>
    <w:rsid w:val="00DA6305"/>
    <w:rsid w:val="00DA671F"/>
    <w:rsid w:val="00DA7357"/>
    <w:rsid w:val="00DB081C"/>
    <w:rsid w:val="00DB0B09"/>
    <w:rsid w:val="00DB0DFC"/>
    <w:rsid w:val="00DB190E"/>
    <w:rsid w:val="00DB1CEC"/>
    <w:rsid w:val="00DB29EF"/>
    <w:rsid w:val="00DB2DA0"/>
    <w:rsid w:val="00DB5CEA"/>
    <w:rsid w:val="00DB6B78"/>
    <w:rsid w:val="00DC0E9E"/>
    <w:rsid w:val="00DC112B"/>
    <w:rsid w:val="00DC1605"/>
    <w:rsid w:val="00DC180F"/>
    <w:rsid w:val="00DC1FE7"/>
    <w:rsid w:val="00DC2EF5"/>
    <w:rsid w:val="00DC54F6"/>
    <w:rsid w:val="00DC67E1"/>
    <w:rsid w:val="00DC6CE0"/>
    <w:rsid w:val="00DC6DC1"/>
    <w:rsid w:val="00DC77C6"/>
    <w:rsid w:val="00DD0790"/>
    <w:rsid w:val="00DD0ACF"/>
    <w:rsid w:val="00DD0CE6"/>
    <w:rsid w:val="00DD1245"/>
    <w:rsid w:val="00DD2BED"/>
    <w:rsid w:val="00DD46B1"/>
    <w:rsid w:val="00DD5CC2"/>
    <w:rsid w:val="00DD6344"/>
    <w:rsid w:val="00DD6909"/>
    <w:rsid w:val="00DD758F"/>
    <w:rsid w:val="00DD7E9A"/>
    <w:rsid w:val="00DE0143"/>
    <w:rsid w:val="00DE036B"/>
    <w:rsid w:val="00DE0426"/>
    <w:rsid w:val="00DE1E8B"/>
    <w:rsid w:val="00DE20EA"/>
    <w:rsid w:val="00DE38BB"/>
    <w:rsid w:val="00DE3D36"/>
    <w:rsid w:val="00DE52F6"/>
    <w:rsid w:val="00DE5DE8"/>
    <w:rsid w:val="00DE5FFC"/>
    <w:rsid w:val="00DE6268"/>
    <w:rsid w:val="00DF1CC8"/>
    <w:rsid w:val="00DF1DA7"/>
    <w:rsid w:val="00DF30D8"/>
    <w:rsid w:val="00DF33D5"/>
    <w:rsid w:val="00DF6146"/>
    <w:rsid w:val="00DF6406"/>
    <w:rsid w:val="00DF6D62"/>
    <w:rsid w:val="00DF6F71"/>
    <w:rsid w:val="00E03398"/>
    <w:rsid w:val="00E037E9"/>
    <w:rsid w:val="00E05142"/>
    <w:rsid w:val="00E05A34"/>
    <w:rsid w:val="00E05E4D"/>
    <w:rsid w:val="00E0602D"/>
    <w:rsid w:val="00E078E7"/>
    <w:rsid w:val="00E10E99"/>
    <w:rsid w:val="00E11078"/>
    <w:rsid w:val="00E11133"/>
    <w:rsid w:val="00E1203B"/>
    <w:rsid w:val="00E12D79"/>
    <w:rsid w:val="00E13A44"/>
    <w:rsid w:val="00E14980"/>
    <w:rsid w:val="00E1634E"/>
    <w:rsid w:val="00E1736B"/>
    <w:rsid w:val="00E2157A"/>
    <w:rsid w:val="00E2201D"/>
    <w:rsid w:val="00E22FF9"/>
    <w:rsid w:val="00E2313A"/>
    <w:rsid w:val="00E242C5"/>
    <w:rsid w:val="00E246D8"/>
    <w:rsid w:val="00E2522C"/>
    <w:rsid w:val="00E2537D"/>
    <w:rsid w:val="00E25AA4"/>
    <w:rsid w:val="00E2676E"/>
    <w:rsid w:val="00E26822"/>
    <w:rsid w:val="00E27376"/>
    <w:rsid w:val="00E27602"/>
    <w:rsid w:val="00E27953"/>
    <w:rsid w:val="00E30916"/>
    <w:rsid w:val="00E30EFB"/>
    <w:rsid w:val="00E33A9D"/>
    <w:rsid w:val="00E344CE"/>
    <w:rsid w:val="00E357F1"/>
    <w:rsid w:val="00E36754"/>
    <w:rsid w:val="00E370CC"/>
    <w:rsid w:val="00E3725A"/>
    <w:rsid w:val="00E37463"/>
    <w:rsid w:val="00E40736"/>
    <w:rsid w:val="00E416B8"/>
    <w:rsid w:val="00E41850"/>
    <w:rsid w:val="00E4286F"/>
    <w:rsid w:val="00E42C80"/>
    <w:rsid w:val="00E42F93"/>
    <w:rsid w:val="00E45493"/>
    <w:rsid w:val="00E45969"/>
    <w:rsid w:val="00E469E0"/>
    <w:rsid w:val="00E47BB6"/>
    <w:rsid w:val="00E50169"/>
    <w:rsid w:val="00E52083"/>
    <w:rsid w:val="00E53FDE"/>
    <w:rsid w:val="00E54ED6"/>
    <w:rsid w:val="00E54F68"/>
    <w:rsid w:val="00E55248"/>
    <w:rsid w:val="00E55ACE"/>
    <w:rsid w:val="00E55F2C"/>
    <w:rsid w:val="00E560DE"/>
    <w:rsid w:val="00E56845"/>
    <w:rsid w:val="00E57C27"/>
    <w:rsid w:val="00E57CFC"/>
    <w:rsid w:val="00E6089E"/>
    <w:rsid w:val="00E61D65"/>
    <w:rsid w:val="00E65554"/>
    <w:rsid w:val="00E65A0F"/>
    <w:rsid w:val="00E6640B"/>
    <w:rsid w:val="00E664E9"/>
    <w:rsid w:val="00E67056"/>
    <w:rsid w:val="00E67399"/>
    <w:rsid w:val="00E67C3D"/>
    <w:rsid w:val="00E710E7"/>
    <w:rsid w:val="00E71A83"/>
    <w:rsid w:val="00E72F7C"/>
    <w:rsid w:val="00E76C7C"/>
    <w:rsid w:val="00E778CD"/>
    <w:rsid w:val="00E779DD"/>
    <w:rsid w:val="00E77E88"/>
    <w:rsid w:val="00E808FF"/>
    <w:rsid w:val="00E80AEF"/>
    <w:rsid w:val="00E81944"/>
    <w:rsid w:val="00E81BBC"/>
    <w:rsid w:val="00E82604"/>
    <w:rsid w:val="00E82625"/>
    <w:rsid w:val="00E83035"/>
    <w:rsid w:val="00E8516D"/>
    <w:rsid w:val="00E85680"/>
    <w:rsid w:val="00E8694F"/>
    <w:rsid w:val="00E86C78"/>
    <w:rsid w:val="00E906EF"/>
    <w:rsid w:val="00E9305D"/>
    <w:rsid w:val="00E93DD2"/>
    <w:rsid w:val="00E94886"/>
    <w:rsid w:val="00E95240"/>
    <w:rsid w:val="00E95CE9"/>
    <w:rsid w:val="00E96FFA"/>
    <w:rsid w:val="00EA0876"/>
    <w:rsid w:val="00EA25D7"/>
    <w:rsid w:val="00EA4CF5"/>
    <w:rsid w:val="00EA687E"/>
    <w:rsid w:val="00EA714C"/>
    <w:rsid w:val="00EA7D5A"/>
    <w:rsid w:val="00EB10EF"/>
    <w:rsid w:val="00EB20C8"/>
    <w:rsid w:val="00EB25BF"/>
    <w:rsid w:val="00EB2D34"/>
    <w:rsid w:val="00EB34CB"/>
    <w:rsid w:val="00EB4C46"/>
    <w:rsid w:val="00EB5B49"/>
    <w:rsid w:val="00EB5E13"/>
    <w:rsid w:val="00EB60D9"/>
    <w:rsid w:val="00EB6B0E"/>
    <w:rsid w:val="00EB7890"/>
    <w:rsid w:val="00EB7DB1"/>
    <w:rsid w:val="00EC037F"/>
    <w:rsid w:val="00EC0A94"/>
    <w:rsid w:val="00EC0AB8"/>
    <w:rsid w:val="00EC21DA"/>
    <w:rsid w:val="00EC2657"/>
    <w:rsid w:val="00EC2C1E"/>
    <w:rsid w:val="00EC33F2"/>
    <w:rsid w:val="00EC676B"/>
    <w:rsid w:val="00EC6F22"/>
    <w:rsid w:val="00EC71C3"/>
    <w:rsid w:val="00EC73E0"/>
    <w:rsid w:val="00EC756E"/>
    <w:rsid w:val="00EC7612"/>
    <w:rsid w:val="00ED0C30"/>
    <w:rsid w:val="00ED10F1"/>
    <w:rsid w:val="00ED15ED"/>
    <w:rsid w:val="00ED215D"/>
    <w:rsid w:val="00ED2286"/>
    <w:rsid w:val="00ED2293"/>
    <w:rsid w:val="00ED45B3"/>
    <w:rsid w:val="00ED4F47"/>
    <w:rsid w:val="00ED6A21"/>
    <w:rsid w:val="00ED6F39"/>
    <w:rsid w:val="00ED7EEB"/>
    <w:rsid w:val="00EE3571"/>
    <w:rsid w:val="00EE3C91"/>
    <w:rsid w:val="00EE6ABA"/>
    <w:rsid w:val="00EE7B22"/>
    <w:rsid w:val="00EE7EE1"/>
    <w:rsid w:val="00EF0597"/>
    <w:rsid w:val="00EF06CB"/>
    <w:rsid w:val="00EF1301"/>
    <w:rsid w:val="00EF215D"/>
    <w:rsid w:val="00EF36AA"/>
    <w:rsid w:val="00EF3EBB"/>
    <w:rsid w:val="00EF4FAE"/>
    <w:rsid w:val="00EF577A"/>
    <w:rsid w:val="00EF6679"/>
    <w:rsid w:val="00EF6943"/>
    <w:rsid w:val="00EF6CE5"/>
    <w:rsid w:val="00EF73EE"/>
    <w:rsid w:val="00EF7C5C"/>
    <w:rsid w:val="00EF7F70"/>
    <w:rsid w:val="00F00187"/>
    <w:rsid w:val="00F00864"/>
    <w:rsid w:val="00F0103F"/>
    <w:rsid w:val="00F0264B"/>
    <w:rsid w:val="00F02B2B"/>
    <w:rsid w:val="00F02D50"/>
    <w:rsid w:val="00F040A4"/>
    <w:rsid w:val="00F0417D"/>
    <w:rsid w:val="00F04F14"/>
    <w:rsid w:val="00F05F62"/>
    <w:rsid w:val="00F064A9"/>
    <w:rsid w:val="00F06926"/>
    <w:rsid w:val="00F074B2"/>
    <w:rsid w:val="00F1028F"/>
    <w:rsid w:val="00F114D4"/>
    <w:rsid w:val="00F118A3"/>
    <w:rsid w:val="00F134F0"/>
    <w:rsid w:val="00F13B85"/>
    <w:rsid w:val="00F14453"/>
    <w:rsid w:val="00F16373"/>
    <w:rsid w:val="00F16B8C"/>
    <w:rsid w:val="00F16F24"/>
    <w:rsid w:val="00F174CC"/>
    <w:rsid w:val="00F17C36"/>
    <w:rsid w:val="00F238A7"/>
    <w:rsid w:val="00F242F6"/>
    <w:rsid w:val="00F24C68"/>
    <w:rsid w:val="00F24DDF"/>
    <w:rsid w:val="00F26357"/>
    <w:rsid w:val="00F2685E"/>
    <w:rsid w:val="00F26AD3"/>
    <w:rsid w:val="00F27597"/>
    <w:rsid w:val="00F276B9"/>
    <w:rsid w:val="00F27A80"/>
    <w:rsid w:val="00F30185"/>
    <w:rsid w:val="00F30C2D"/>
    <w:rsid w:val="00F30EF8"/>
    <w:rsid w:val="00F315DF"/>
    <w:rsid w:val="00F31CE4"/>
    <w:rsid w:val="00F326A3"/>
    <w:rsid w:val="00F32DE0"/>
    <w:rsid w:val="00F33364"/>
    <w:rsid w:val="00F36C2E"/>
    <w:rsid w:val="00F36E83"/>
    <w:rsid w:val="00F3729F"/>
    <w:rsid w:val="00F40D98"/>
    <w:rsid w:val="00F43288"/>
    <w:rsid w:val="00F45069"/>
    <w:rsid w:val="00F463F2"/>
    <w:rsid w:val="00F51DA1"/>
    <w:rsid w:val="00F52087"/>
    <w:rsid w:val="00F528C1"/>
    <w:rsid w:val="00F532BC"/>
    <w:rsid w:val="00F544CA"/>
    <w:rsid w:val="00F54FDD"/>
    <w:rsid w:val="00F55EA2"/>
    <w:rsid w:val="00F56D22"/>
    <w:rsid w:val="00F6017B"/>
    <w:rsid w:val="00F61E60"/>
    <w:rsid w:val="00F6213D"/>
    <w:rsid w:val="00F6488E"/>
    <w:rsid w:val="00F65E26"/>
    <w:rsid w:val="00F6608B"/>
    <w:rsid w:val="00F67A36"/>
    <w:rsid w:val="00F67D89"/>
    <w:rsid w:val="00F71654"/>
    <w:rsid w:val="00F72154"/>
    <w:rsid w:val="00F72B7C"/>
    <w:rsid w:val="00F73EC4"/>
    <w:rsid w:val="00F7518E"/>
    <w:rsid w:val="00F76822"/>
    <w:rsid w:val="00F76DE2"/>
    <w:rsid w:val="00F8144C"/>
    <w:rsid w:val="00F81593"/>
    <w:rsid w:val="00F81F48"/>
    <w:rsid w:val="00F83320"/>
    <w:rsid w:val="00F839D5"/>
    <w:rsid w:val="00F83C34"/>
    <w:rsid w:val="00F83C72"/>
    <w:rsid w:val="00F85342"/>
    <w:rsid w:val="00F865D1"/>
    <w:rsid w:val="00F868EA"/>
    <w:rsid w:val="00F877B3"/>
    <w:rsid w:val="00F87A48"/>
    <w:rsid w:val="00F87E2D"/>
    <w:rsid w:val="00F9051D"/>
    <w:rsid w:val="00F92DB5"/>
    <w:rsid w:val="00F94332"/>
    <w:rsid w:val="00F94485"/>
    <w:rsid w:val="00F9466E"/>
    <w:rsid w:val="00F94FE0"/>
    <w:rsid w:val="00F966E9"/>
    <w:rsid w:val="00F968D4"/>
    <w:rsid w:val="00F96B6E"/>
    <w:rsid w:val="00F97114"/>
    <w:rsid w:val="00FA0199"/>
    <w:rsid w:val="00FA01B8"/>
    <w:rsid w:val="00FA1602"/>
    <w:rsid w:val="00FA3513"/>
    <w:rsid w:val="00FA3B6E"/>
    <w:rsid w:val="00FA3C0A"/>
    <w:rsid w:val="00FA3C49"/>
    <w:rsid w:val="00FA4A3C"/>
    <w:rsid w:val="00FA588B"/>
    <w:rsid w:val="00FA5925"/>
    <w:rsid w:val="00FA5B99"/>
    <w:rsid w:val="00FA62E1"/>
    <w:rsid w:val="00FA721C"/>
    <w:rsid w:val="00FA7560"/>
    <w:rsid w:val="00FA798E"/>
    <w:rsid w:val="00FA7B7E"/>
    <w:rsid w:val="00FA7F74"/>
    <w:rsid w:val="00FB2D50"/>
    <w:rsid w:val="00FB35D2"/>
    <w:rsid w:val="00FB4EBA"/>
    <w:rsid w:val="00FB60B7"/>
    <w:rsid w:val="00FB6E22"/>
    <w:rsid w:val="00FB7F6A"/>
    <w:rsid w:val="00FC0D89"/>
    <w:rsid w:val="00FC0EA8"/>
    <w:rsid w:val="00FC12D3"/>
    <w:rsid w:val="00FC1559"/>
    <w:rsid w:val="00FC2D93"/>
    <w:rsid w:val="00FC43BC"/>
    <w:rsid w:val="00FC4BEC"/>
    <w:rsid w:val="00FC6D08"/>
    <w:rsid w:val="00FC7340"/>
    <w:rsid w:val="00FC7CA9"/>
    <w:rsid w:val="00FC7EA5"/>
    <w:rsid w:val="00FD01A6"/>
    <w:rsid w:val="00FD0F61"/>
    <w:rsid w:val="00FD13E6"/>
    <w:rsid w:val="00FD1F18"/>
    <w:rsid w:val="00FD1FB0"/>
    <w:rsid w:val="00FD22FF"/>
    <w:rsid w:val="00FD3039"/>
    <w:rsid w:val="00FD33F9"/>
    <w:rsid w:val="00FD627E"/>
    <w:rsid w:val="00FD6936"/>
    <w:rsid w:val="00FD6B75"/>
    <w:rsid w:val="00FD77F9"/>
    <w:rsid w:val="00FD7A30"/>
    <w:rsid w:val="00FD7D24"/>
    <w:rsid w:val="00FE1000"/>
    <w:rsid w:val="00FE11DC"/>
    <w:rsid w:val="00FE13DB"/>
    <w:rsid w:val="00FE1F79"/>
    <w:rsid w:val="00FE294C"/>
    <w:rsid w:val="00FE2DBE"/>
    <w:rsid w:val="00FE2F72"/>
    <w:rsid w:val="00FE3256"/>
    <w:rsid w:val="00FE4602"/>
    <w:rsid w:val="00FE4A70"/>
    <w:rsid w:val="00FE4E28"/>
    <w:rsid w:val="00FE54D3"/>
    <w:rsid w:val="00FE5A17"/>
    <w:rsid w:val="00FE6F17"/>
    <w:rsid w:val="00FE797E"/>
    <w:rsid w:val="00FF118B"/>
    <w:rsid w:val="00FF22D3"/>
    <w:rsid w:val="00FF41F0"/>
    <w:rsid w:val="00FF4C02"/>
    <w:rsid w:val="00FF4CE4"/>
    <w:rsid w:val="00FF7A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C419D"/>
  <w14:defaultImageDpi w14:val="96"/>
  <w15:docId w15:val="{93A8345B-9B12-449C-A9FE-BBCD1928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uiPriority="0"/>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GB"/>
    </w:rPr>
  </w:style>
  <w:style w:type="paragraph" w:styleId="Heading1">
    <w:name w:val="heading 1"/>
    <w:basedOn w:val="Normal"/>
    <w:next w:val="Normal"/>
    <w:link w:val="Heading1Char"/>
    <w:uiPriority w:val="9"/>
    <w:qFormat/>
    <w:rsid w:val="001834A8"/>
    <w:pPr>
      <w:keepNext/>
      <w:keepLines/>
      <w:widowControl/>
      <w:numPr>
        <w:numId w:val="1"/>
      </w:numPr>
      <w:overflowPunct/>
      <w:autoSpaceDE/>
      <w:autoSpaceDN/>
      <w:adjustRightInd/>
      <w:spacing w:before="240"/>
      <w:ind w:left="360"/>
      <w:outlineLvl w:val="0"/>
    </w:pPr>
    <w:rPr>
      <w:rFonts w:ascii="Arial" w:eastAsia="DengXian Light" w:hAnsi="Arial"/>
      <w:color w:val="FF9900"/>
      <w:kern w:val="0"/>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4A8"/>
    <w:rPr>
      <w:rFonts w:ascii="Arial" w:eastAsia="DengXian Light" w:hAnsi="Arial" w:cs="Times New Roman"/>
      <w:color w:val="FF9900"/>
      <w:sz w:val="22"/>
      <w:szCs w:val="32"/>
      <w:lang w:eastAsia="en-US"/>
    </w:rPr>
  </w:style>
  <w:style w:type="paragraph" w:styleId="Header">
    <w:name w:val="header"/>
    <w:basedOn w:val="Normal"/>
    <w:link w:val="HeaderChar"/>
    <w:uiPriority w:val="99"/>
    <w:unhideWhenUsed/>
    <w:rsid w:val="000049D3"/>
    <w:pPr>
      <w:tabs>
        <w:tab w:val="center" w:pos="4513"/>
        <w:tab w:val="right" w:pos="9026"/>
      </w:tabs>
    </w:pPr>
  </w:style>
  <w:style w:type="character" w:customStyle="1" w:styleId="HeaderChar">
    <w:name w:val="Header Char"/>
    <w:basedOn w:val="DefaultParagraphFont"/>
    <w:link w:val="Header"/>
    <w:uiPriority w:val="99"/>
    <w:locked/>
    <w:rsid w:val="000049D3"/>
    <w:rPr>
      <w:rFonts w:ascii="Times New Roman" w:hAnsi="Times New Roman" w:cs="Times New Roman"/>
      <w:kern w:val="28"/>
      <w:sz w:val="20"/>
    </w:rPr>
  </w:style>
  <w:style w:type="paragraph" w:styleId="Footer">
    <w:name w:val="footer"/>
    <w:basedOn w:val="Normal"/>
    <w:link w:val="FooterChar"/>
    <w:uiPriority w:val="99"/>
    <w:unhideWhenUsed/>
    <w:rsid w:val="000049D3"/>
    <w:pPr>
      <w:tabs>
        <w:tab w:val="center" w:pos="4513"/>
        <w:tab w:val="right" w:pos="9026"/>
      </w:tabs>
    </w:pPr>
  </w:style>
  <w:style w:type="character" w:customStyle="1" w:styleId="FooterChar">
    <w:name w:val="Footer Char"/>
    <w:basedOn w:val="DefaultParagraphFont"/>
    <w:link w:val="Footer"/>
    <w:uiPriority w:val="99"/>
    <w:locked/>
    <w:rsid w:val="000049D3"/>
    <w:rPr>
      <w:rFonts w:ascii="Times New Roman" w:hAnsi="Times New Roman" w:cs="Times New Roman"/>
      <w:kern w:val="28"/>
      <w:sz w:val="20"/>
    </w:rPr>
  </w:style>
  <w:style w:type="paragraph" w:customStyle="1" w:styleId="ApolPersListEntry">
    <w:name w:val="ApolPersListEntry"/>
    <w:basedOn w:val="Normal"/>
    <w:rsid w:val="002559A5"/>
    <w:pPr>
      <w:widowControl/>
      <w:suppressAutoHyphens/>
      <w:overflowPunct/>
      <w:autoSpaceDE/>
      <w:autoSpaceDN/>
      <w:adjustRightInd/>
      <w:spacing w:after="120" w:line="100" w:lineRule="atLeast"/>
      <w:jc w:val="both"/>
    </w:pPr>
    <w:rPr>
      <w:rFonts w:cs="Calibri"/>
      <w:color w:val="000000"/>
      <w:kern w:val="1"/>
      <w:sz w:val="24"/>
      <w:szCs w:val="24"/>
      <w:lang w:eastAsia="hi-IN" w:bidi="hi-IN"/>
    </w:rPr>
  </w:style>
  <w:style w:type="character" w:styleId="Hyperlink">
    <w:name w:val="Hyperlink"/>
    <w:basedOn w:val="DefaultParagraphFont"/>
    <w:uiPriority w:val="99"/>
    <w:rsid w:val="001E6307"/>
    <w:rPr>
      <w:rFonts w:cs="Times New Roman"/>
      <w:u w:val="single"/>
    </w:rPr>
  </w:style>
  <w:style w:type="paragraph" w:customStyle="1" w:styleId="Body">
    <w:name w:val="Body"/>
    <w:rsid w:val="001E6307"/>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styleId="ListParagraph">
    <w:name w:val="List Paragraph"/>
    <w:basedOn w:val="Normal"/>
    <w:link w:val="ListParagraphChar"/>
    <w:uiPriority w:val="34"/>
    <w:qFormat/>
    <w:rsid w:val="001E6307"/>
    <w:pPr>
      <w:widowControl/>
      <w:pBdr>
        <w:top w:val="none" w:sz="96" w:space="31" w:color="FFFFFF" w:frame="1"/>
        <w:left w:val="none" w:sz="96" w:space="31" w:color="FFFFFF" w:frame="1"/>
        <w:bottom w:val="none" w:sz="96" w:space="31" w:color="FFFFFF" w:frame="1"/>
        <w:right w:val="none" w:sz="96" w:space="31" w:color="FFFFFF" w:frame="1"/>
      </w:pBdr>
      <w:overflowPunct/>
      <w:autoSpaceDE/>
      <w:autoSpaceDN/>
      <w:adjustRightInd/>
      <w:ind w:left="720"/>
    </w:pPr>
    <w:rPr>
      <w:rFonts w:cs="Arial Unicode MS"/>
      <w:color w:val="000000"/>
      <w:kern w:val="0"/>
      <w:sz w:val="24"/>
      <w:szCs w:val="24"/>
      <w:u w:color="000000"/>
      <w:lang w:val="en-US"/>
    </w:rPr>
  </w:style>
  <w:style w:type="paragraph" w:styleId="PlainText">
    <w:name w:val="Plain Text"/>
    <w:basedOn w:val="Normal"/>
    <w:link w:val="PlainTextChar"/>
    <w:uiPriority w:val="99"/>
    <w:unhideWhenUsed/>
    <w:rsid w:val="001E6307"/>
    <w:pPr>
      <w:widowControl/>
      <w:overflowPunct/>
      <w:autoSpaceDE/>
      <w:autoSpaceDN/>
      <w:adjustRightInd/>
    </w:pPr>
    <w:rPr>
      <w:rFonts w:ascii="Calibri" w:hAnsi="Calibri" w:cs="Consolas"/>
      <w:kern w:val="0"/>
      <w:sz w:val="22"/>
      <w:szCs w:val="21"/>
      <w:lang w:eastAsia="en-US"/>
    </w:rPr>
  </w:style>
  <w:style w:type="character" w:customStyle="1" w:styleId="PlainTextChar">
    <w:name w:val="Plain Text Char"/>
    <w:basedOn w:val="DefaultParagraphFont"/>
    <w:link w:val="PlainText"/>
    <w:uiPriority w:val="99"/>
    <w:locked/>
    <w:rsid w:val="001E6307"/>
    <w:rPr>
      <w:rFonts w:eastAsia="Times New Roman" w:cs="Consolas"/>
      <w:sz w:val="21"/>
      <w:szCs w:val="21"/>
      <w:lang w:val="x-none" w:eastAsia="en-US"/>
    </w:rPr>
  </w:style>
  <w:style w:type="character" w:customStyle="1" w:styleId="ListParagraphChar">
    <w:name w:val="List Paragraph Char"/>
    <w:link w:val="ListParagraph"/>
    <w:uiPriority w:val="34"/>
    <w:locked/>
    <w:rsid w:val="001E6307"/>
    <w:rPr>
      <w:rFonts w:ascii="Times New Roman" w:hAnsi="Times New Roman"/>
      <w:color w:val="000000"/>
      <w:sz w:val="24"/>
      <w:u w:color="000000"/>
      <w:lang w:val="en-US" w:eastAsia="x-none"/>
    </w:rPr>
  </w:style>
  <w:style w:type="character" w:customStyle="1" w:styleId="fb-summary">
    <w:name w:val="fb-summary"/>
    <w:rsid w:val="001E6307"/>
  </w:style>
  <w:style w:type="paragraph" w:styleId="NoSpacing">
    <w:name w:val="No Spacing"/>
    <w:uiPriority w:val="1"/>
    <w:qFormat/>
    <w:rsid w:val="003C271A"/>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customStyle="1" w:styleId="SectText2">
    <w:name w:val="SectText2"/>
    <w:basedOn w:val="Normal"/>
    <w:link w:val="SectText2Char"/>
    <w:rsid w:val="00AC3D7E"/>
    <w:pPr>
      <w:widowControl/>
      <w:overflowPunct/>
      <w:autoSpaceDE/>
      <w:autoSpaceDN/>
      <w:adjustRightInd/>
      <w:spacing w:after="120"/>
      <w:ind w:left="567"/>
      <w:jc w:val="both"/>
    </w:pPr>
    <w:rPr>
      <w:kern w:val="0"/>
      <w:sz w:val="22"/>
      <w:lang w:eastAsia="en-US"/>
    </w:rPr>
  </w:style>
  <w:style w:type="character" w:customStyle="1" w:styleId="SectText2Char">
    <w:name w:val="SectText2 Char"/>
    <w:link w:val="SectText2"/>
    <w:locked/>
    <w:rsid w:val="00AC3D7E"/>
    <w:rPr>
      <w:rFonts w:ascii="Times New Roman" w:hAnsi="Times New Roman"/>
      <w:sz w:val="22"/>
      <w:lang w:val="x-none" w:eastAsia="en-US"/>
    </w:rPr>
  </w:style>
  <w:style w:type="paragraph" w:customStyle="1" w:styleId="Body1">
    <w:name w:val="Body 1"/>
    <w:rsid w:val="00507FE8"/>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alloonText">
    <w:name w:val="Balloon Text"/>
    <w:basedOn w:val="Normal"/>
    <w:link w:val="BalloonTextChar"/>
    <w:uiPriority w:val="99"/>
    <w:rsid w:val="003B3822"/>
    <w:rPr>
      <w:rFonts w:ascii="Segoe UI" w:hAnsi="Segoe UI" w:cs="Segoe UI"/>
      <w:sz w:val="18"/>
      <w:szCs w:val="18"/>
    </w:rPr>
  </w:style>
  <w:style w:type="character" w:customStyle="1" w:styleId="BalloonTextChar">
    <w:name w:val="Balloon Text Char"/>
    <w:basedOn w:val="DefaultParagraphFont"/>
    <w:link w:val="BalloonText"/>
    <w:uiPriority w:val="99"/>
    <w:locked/>
    <w:rsid w:val="003B3822"/>
    <w:rPr>
      <w:rFonts w:ascii="Segoe UI" w:hAnsi="Segoe UI" w:cs="Segoe UI"/>
      <w:kern w:val="28"/>
      <w:sz w:val="18"/>
      <w:szCs w:val="18"/>
      <w:lang w:val="x-none" w:eastAsia="en-GB"/>
    </w:rPr>
  </w:style>
  <w:style w:type="paragraph" w:styleId="BodyText">
    <w:name w:val="Body Text"/>
    <w:basedOn w:val="Normal"/>
    <w:link w:val="BodyTextChar"/>
    <w:rsid w:val="00E2313A"/>
    <w:pPr>
      <w:widowControl/>
      <w:tabs>
        <w:tab w:val="left" w:pos="567"/>
        <w:tab w:val="left" w:pos="851"/>
        <w:tab w:val="left" w:pos="1134"/>
        <w:tab w:val="left" w:pos="1418"/>
        <w:tab w:val="left" w:pos="1701"/>
        <w:tab w:val="left" w:pos="1985"/>
      </w:tabs>
      <w:suppressAutoHyphens/>
      <w:overflowPunct/>
      <w:autoSpaceDE/>
      <w:autoSpaceDN/>
      <w:adjustRightInd/>
      <w:spacing w:after="120" w:line="100" w:lineRule="atLeast"/>
      <w:ind w:left="567" w:hanging="567"/>
      <w:jc w:val="both"/>
    </w:pPr>
    <w:rPr>
      <w:bCs/>
      <w:color w:val="000000"/>
      <w:kern w:val="1"/>
      <w:sz w:val="24"/>
      <w:szCs w:val="24"/>
      <w:lang w:eastAsia="hi-IN" w:bidi="hi-IN"/>
    </w:rPr>
  </w:style>
  <w:style w:type="character" w:customStyle="1" w:styleId="BodyTextChar">
    <w:name w:val="Body Text Char"/>
    <w:basedOn w:val="DefaultParagraphFont"/>
    <w:link w:val="BodyText"/>
    <w:rsid w:val="00E2313A"/>
    <w:rPr>
      <w:rFonts w:ascii="Times New Roman" w:hAnsi="Times New Roman" w:cs="Times New Roman"/>
      <w:bCs/>
      <w:color w:val="000000"/>
      <w:kern w:val="1"/>
      <w:sz w:val="24"/>
      <w:szCs w:val="24"/>
      <w:lang w:eastAsia="hi-IN" w:bidi="hi-IN"/>
    </w:rPr>
  </w:style>
  <w:style w:type="paragraph" w:styleId="NormalWeb">
    <w:name w:val="Normal (Web)"/>
    <w:basedOn w:val="Normal"/>
    <w:rsid w:val="002A26DD"/>
    <w:pPr>
      <w:widowControl/>
      <w:suppressAutoHyphens/>
      <w:overflowPunct/>
      <w:autoSpaceDE/>
      <w:autoSpaceDN/>
      <w:adjustRightInd/>
      <w:spacing w:before="28" w:after="28"/>
    </w:pPr>
    <w:rPr>
      <w:rFonts w:ascii="Arial" w:hAnsi="Arial" w:cs="Arial Unicode MS"/>
      <w:color w:val="000000"/>
      <w:kern w:val="1"/>
      <w:sz w:val="34"/>
      <w:szCs w:val="34"/>
      <w:lang w:eastAsia="hi-IN" w:bidi="hi-IN"/>
    </w:rPr>
  </w:style>
  <w:style w:type="paragraph" w:customStyle="1" w:styleId="body0">
    <w:name w:val="body"/>
    <w:basedOn w:val="Normal"/>
    <w:rsid w:val="002A26DD"/>
    <w:pPr>
      <w:widowControl/>
      <w:overflowPunct/>
      <w:autoSpaceDE/>
      <w:autoSpaceDN/>
      <w:adjustRightInd/>
    </w:pPr>
    <w:rPr>
      <w:rFonts w:eastAsiaTheme="minorHAnsi"/>
      <w:color w:val="000000"/>
      <w:kern w:val="0"/>
      <w:sz w:val="24"/>
      <w:szCs w:val="24"/>
    </w:rPr>
  </w:style>
  <w:style w:type="character" w:styleId="CommentReference">
    <w:name w:val="annotation reference"/>
    <w:basedOn w:val="DefaultParagraphFont"/>
    <w:uiPriority w:val="99"/>
    <w:rsid w:val="001A74CF"/>
    <w:rPr>
      <w:sz w:val="16"/>
      <w:szCs w:val="16"/>
    </w:rPr>
  </w:style>
  <w:style w:type="paragraph" w:styleId="CommentText">
    <w:name w:val="annotation text"/>
    <w:basedOn w:val="Normal"/>
    <w:link w:val="CommentTextChar"/>
    <w:uiPriority w:val="99"/>
    <w:rsid w:val="001A74CF"/>
  </w:style>
  <w:style w:type="character" w:customStyle="1" w:styleId="CommentTextChar">
    <w:name w:val="Comment Text Char"/>
    <w:basedOn w:val="DefaultParagraphFont"/>
    <w:link w:val="CommentText"/>
    <w:uiPriority w:val="99"/>
    <w:rsid w:val="001A74CF"/>
    <w:rPr>
      <w:rFonts w:ascii="Times New Roman" w:hAnsi="Times New Roman" w:cs="Times New Roman"/>
      <w:kern w:val="28"/>
      <w:lang w:eastAsia="en-GB"/>
    </w:rPr>
  </w:style>
  <w:style w:type="paragraph" w:styleId="CommentSubject">
    <w:name w:val="annotation subject"/>
    <w:basedOn w:val="CommentText"/>
    <w:next w:val="CommentText"/>
    <w:link w:val="CommentSubjectChar"/>
    <w:uiPriority w:val="99"/>
    <w:rsid w:val="001A74CF"/>
    <w:rPr>
      <w:b/>
      <w:bCs/>
    </w:rPr>
  </w:style>
  <w:style w:type="character" w:customStyle="1" w:styleId="CommentSubjectChar">
    <w:name w:val="Comment Subject Char"/>
    <w:basedOn w:val="CommentTextChar"/>
    <w:link w:val="CommentSubject"/>
    <w:uiPriority w:val="99"/>
    <w:rsid w:val="001A74CF"/>
    <w:rPr>
      <w:rFonts w:ascii="Times New Roman" w:hAnsi="Times New Roman" w:cs="Times New Roman"/>
      <w:b/>
      <w:bCs/>
      <w:kern w:val="28"/>
      <w:lang w:eastAsia="en-GB"/>
    </w:rPr>
  </w:style>
  <w:style w:type="paragraph" w:styleId="Revision">
    <w:name w:val="Revision"/>
    <w:hidden/>
    <w:uiPriority w:val="99"/>
    <w:semiHidden/>
    <w:rsid w:val="001A74CF"/>
    <w:rPr>
      <w:rFonts w:ascii="Times New Roman" w:hAnsi="Times New Roman" w:cs="Times New Roman"/>
      <w:kern w:val="28"/>
      <w:lang w:eastAsia="en-GB"/>
    </w:rPr>
  </w:style>
  <w:style w:type="paragraph" w:styleId="FootnoteText">
    <w:name w:val="footnote text"/>
    <w:basedOn w:val="Normal"/>
    <w:link w:val="FootnoteTextChar"/>
    <w:uiPriority w:val="99"/>
    <w:unhideWhenUsed/>
    <w:rsid w:val="003F29F0"/>
    <w:pPr>
      <w:widowControl/>
      <w:overflowPunct/>
      <w:autoSpaceDE/>
      <w:autoSpaceDN/>
      <w:adjustRightInd/>
    </w:pPr>
    <w:rPr>
      <w:rFonts w:asciiTheme="minorHAnsi" w:eastAsiaTheme="minorEastAsia" w:hAnsiTheme="minorHAnsi" w:cstheme="minorBidi"/>
      <w:kern w:val="0"/>
      <w:lang w:eastAsia="zh-CN"/>
    </w:rPr>
  </w:style>
  <w:style w:type="character" w:customStyle="1" w:styleId="FootnoteTextChar">
    <w:name w:val="Footnote Text Char"/>
    <w:basedOn w:val="DefaultParagraphFont"/>
    <w:link w:val="FootnoteText"/>
    <w:uiPriority w:val="99"/>
    <w:rsid w:val="003F29F0"/>
    <w:rPr>
      <w:rFonts w:asciiTheme="minorHAnsi" w:eastAsiaTheme="minorEastAsia" w:hAnsiTheme="minorHAnsi" w:cstheme="minorBidi"/>
    </w:rPr>
  </w:style>
  <w:style w:type="character" w:styleId="FootnoteReference">
    <w:name w:val="footnote reference"/>
    <w:basedOn w:val="DefaultParagraphFont"/>
    <w:uiPriority w:val="99"/>
    <w:unhideWhenUsed/>
    <w:rsid w:val="003F29F0"/>
    <w:rPr>
      <w:vertAlign w:val="superscript"/>
    </w:rPr>
  </w:style>
  <w:style w:type="paragraph" w:customStyle="1" w:styleId="ItemText1">
    <w:name w:val="ItemText1"/>
    <w:basedOn w:val="Normal"/>
    <w:uiPriority w:val="99"/>
    <w:rsid w:val="00122B23"/>
    <w:pPr>
      <w:widowControl/>
      <w:suppressAutoHyphens/>
      <w:overflowPunct/>
      <w:autoSpaceDE/>
      <w:autoSpaceDN/>
      <w:adjustRightInd/>
      <w:spacing w:after="120" w:line="100" w:lineRule="atLeast"/>
      <w:ind w:left="567"/>
      <w:jc w:val="both"/>
    </w:pPr>
    <w:rPr>
      <w:color w:val="000000"/>
      <w:kern w:val="1"/>
      <w:sz w:val="24"/>
      <w:szCs w:val="24"/>
      <w:lang w:eastAsia="hi-IN" w:bidi="hi-IN"/>
    </w:rPr>
  </w:style>
  <w:style w:type="paragraph" w:customStyle="1" w:styleId="Default">
    <w:name w:val="Default"/>
    <w:rsid w:val="00B666FA"/>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858D3"/>
    <w:rPr>
      <w:color w:val="605E5C"/>
      <w:shd w:val="clear" w:color="auto" w:fill="E1DFDD"/>
    </w:rPr>
  </w:style>
  <w:style w:type="paragraph" w:customStyle="1" w:styleId="SectText1">
    <w:name w:val="SectText1"/>
    <w:basedOn w:val="Normal"/>
    <w:rsid w:val="005A1583"/>
    <w:pPr>
      <w:widowControl/>
      <w:overflowPunct/>
      <w:autoSpaceDE/>
      <w:autoSpaceDN/>
      <w:adjustRightInd/>
      <w:spacing w:after="120"/>
      <w:ind w:left="567"/>
      <w:jc w:val="both"/>
    </w:pPr>
    <w:rPr>
      <w:rFonts w:eastAsiaTheme="minorEastAsia"/>
      <w:kern w:val="0"/>
      <w:sz w:val="22"/>
      <w:szCs w:val="22"/>
      <w:lang w:eastAsia="en-US"/>
    </w:rPr>
  </w:style>
  <w:style w:type="paragraph" w:customStyle="1" w:styleId="BullList">
    <w:name w:val="BullList"/>
    <w:basedOn w:val="Normal"/>
    <w:rsid w:val="00083B72"/>
    <w:pPr>
      <w:widowControl/>
      <w:numPr>
        <w:numId w:val="19"/>
      </w:numPr>
      <w:tabs>
        <w:tab w:val="left" w:pos="924"/>
      </w:tabs>
      <w:overflowPunct/>
      <w:autoSpaceDE/>
      <w:autoSpaceDN/>
      <w:adjustRightInd/>
      <w:spacing w:after="120"/>
      <w:ind w:left="924" w:hanging="357"/>
      <w:jc w:val="both"/>
    </w:pPr>
    <w:rPr>
      <w:kern w:val="0"/>
      <w:sz w:val="22"/>
      <w:lang w:eastAsia="en-US"/>
    </w:rPr>
  </w:style>
  <w:style w:type="paragraph" w:customStyle="1" w:styleId="xmsonormal">
    <w:name w:val="xmsonormal"/>
    <w:basedOn w:val="Normal"/>
    <w:rsid w:val="00C11939"/>
    <w:pPr>
      <w:widowControl/>
      <w:overflowPunct/>
      <w:autoSpaceDE/>
      <w:autoSpaceDN/>
      <w:adjustRightInd/>
    </w:pPr>
    <w:rPr>
      <w:rFonts w:ascii="Calibri" w:eastAsiaTheme="minorEastAsia" w:hAnsi="Calibri" w:cs="Calibri"/>
      <w:kern w:val="0"/>
      <w:sz w:val="22"/>
      <w:szCs w:val="22"/>
      <w:lang w:eastAsia="zh-CN"/>
    </w:rPr>
  </w:style>
  <w:style w:type="paragraph" w:customStyle="1" w:styleId="MetaPublishDate">
    <w:name w:val="MetaPublishDate"/>
    <w:basedOn w:val="Normal"/>
    <w:next w:val="Normal"/>
    <w:uiPriority w:val="99"/>
    <w:rsid w:val="00715C88"/>
    <w:pPr>
      <w:keepNext/>
      <w:widowControl/>
      <w:overflowPunct/>
      <w:autoSpaceDE/>
      <w:autoSpaceDN/>
      <w:adjustRightInd/>
      <w:spacing w:after="240"/>
      <w:jc w:val="center"/>
    </w:pPr>
    <w:rPr>
      <w:b/>
      <w:kern w:val="0"/>
      <w:sz w:val="22"/>
      <w:lang w:eastAsia="en-US"/>
    </w:rPr>
  </w:style>
  <w:style w:type="character" w:customStyle="1" w:styleId="normaltextrun">
    <w:name w:val="normaltextrun"/>
    <w:basedOn w:val="DefaultParagraphFont"/>
    <w:rsid w:val="00704B33"/>
  </w:style>
  <w:style w:type="paragraph" w:customStyle="1" w:styleId="paragraph">
    <w:name w:val="paragraph"/>
    <w:rsid w:val="00011FAC"/>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n-US"/>
    </w:rPr>
  </w:style>
  <w:style w:type="numbering" w:customStyle="1" w:styleId="ImportedStyle1">
    <w:name w:val="Imported Style 1"/>
    <w:rsid w:val="00011FAC"/>
    <w:pPr>
      <w:numPr>
        <w:numId w:val="43"/>
      </w:numPr>
    </w:pPr>
  </w:style>
  <w:style w:type="character" w:customStyle="1" w:styleId="cf01">
    <w:name w:val="cf01"/>
    <w:basedOn w:val="DefaultParagraphFont"/>
    <w:rsid w:val="003147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9928">
      <w:bodyDiv w:val="1"/>
      <w:marLeft w:val="0"/>
      <w:marRight w:val="0"/>
      <w:marTop w:val="0"/>
      <w:marBottom w:val="0"/>
      <w:divBdr>
        <w:top w:val="none" w:sz="0" w:space="0" w:color="auto"/>
        <w:left w:val="none" w:sz="0" w:space="0" w:color="auto"/>
        <w:bottom w:val="none" w:sz="0" w:space="0" w:color="auto"/>
        <w:right w:val="none" w:sz="0" w:space="0" w:color="auto"/>
      </w:divBdr>
      <w:divsChild>
        <w:div w:id="961155347">
          <w:marLeft w:val="547"/>
          <w:marRight w:val="0"/>
          <w:marTop w:val="77"/>
          <w:marBottom w:val="0"/>
          <w:divBdr>
            <w:top w:val="none" w:sz="0" w:space="0" w:color="auto"/>
            <w:left w:val="none" w:sz="0" w:space="0" w:color="auto"/>
            <w:bottom w:val="none" w:sz="0" w:space="0" w:color="auto"/>
            <w:right w:val="none" w:sz="0" w:space="0" w:color="auto"/>
          </w:divBdr>
        </w:div>
        <w:div w:id="2031714216">
          <w:marLeft w:val="547"/>
          <w:marRight w:val="0"/>
          <w:marTop w:val="77"/>
          <w:marBottom w:val="0"/>
          <w:divBdr>
            <w:top w:val="none" w:sz="0" w:space="0" w:color="auto"/>
            <w:left w:val="none" w:sz="0" w:space="0" w:color="auto"/>
            <w:bottom w:val="none" w:sz="0" w:space="0" w:color="auto"/>
            <w:right w:val="none" w:sz="0" w:space="0" w:color="auto"/>
          </w:divBdr>
        </w:div>
        <w:div w:id="390353285">
          <w:marLeft w:val="547"/>
          <w:marRight w:val="0"/>
          <w:marTop w:val="77"/>
          <w:marBottom w:val="0"/>
          <w:divBdr>
            <w:top w:val="none" w:sz="0" w:space="0" w:color="auto"/>
            <w:left w:val="none" w:sz="0" w:space="0" w:color="auto"/>
            <w:bottom w:val="none" w:sz="0" w:space="0" w:color="auto"/>
            <w:right w:val="none" w:sz="0" w:space="0" w:color="auto"/>
          </w:divBdr>
        </w:div>
        <w:div w:id="761098997">
          <w:marLeft w:val="1699"/>
          <w:marRight w:val="0"/>
          <w:marTop w:val="77"/>
          <w:marBottom w:val="0"/>
          <w:divBdr>
            <w:top w:val="none" w:sz="0" w:space="0" w:color="auto"/>
            <w:left w:val="none" w:sz="0" w:space="0" w:color="auto"/>
            <w:bottom w:val="none" w:sz="0" w:space="0" w:color="auto"/>
            <w:right w:val="none" w:sz="0" w:space="0" w:color="auto"/>
          </w:divBdr>
        </w:div>
        <w:div w:id="1440098459">
          <w:marLeft w:val="1699"/>
          <w:marRight w:val="0"/>
          <w:marTop w:val="77"/>
          <w:marBottom w:val="0"/>
          <w:divBdr>
            <w:top w:val="none" w:sz="0" w:space="0" w:color="auto"/>
            <w:left w:val="none" w:sz="0" w:space="0" w:color="auto"/>
            <w:bottom w:val="none" w:sz="0" w:space="0" w:color="auto"/>
            <w:right w:val="none" w:sz="0" w:space="0" w:color="auto"/>
          </w:divBdr>
        </w:div>
        <w:div w:id="81149109">
          <w:marLeft w:val="1699"/>
          <w:marRight w:val="0"/>
          <w:marTop w:val="77"/>
          <w:marBottom w:val="0"/>
          <w:divBdr>
            <w:top w:val="none" w:sz="0" w:space="0" w:color="auto"/>
            <w:left w:val="none" w:sz="0" w:space="0" w:color="auto"/>
            <w:bottom w:val="none" w:sz="0" w:space="0" w:color="auto"/>
            <w:right w:val="none" w:sz="0" w:space="0" w:color="auto"/>
          </w:divBdr>
        </w:div>
      </w:divsChild>
    </w:div>
    <w:div w:id="138697834">
      <w:bodyDiv w:val="1"/>
      <w:marLeft w:val="0"/>
      <w:marRight w:val="0"/>
      <w:marTop w:val="0"/>
      <w:marBottom w:val="0"/>
      <w:divBdr>
        <w:top w:val="none" w:sz="0" w:space="0" w:color="auto"/>
        <w:left w:val="none" w:sz="0" w:space="0" w:color="auto"/>
        <w:bottom w:val="none" w:sz="0" w:space="0" w:color="auto"/>
        <w:right w:val="none" w:sz="0" w:space="0" w:color="auto"/>
      </w:divBdr>
    </w:div>
    <w:div w:id="364142053">
      <w:bodyDiv w:val="1"/>
      <w:marLeft w:val="0"/>
      <w:marRight w:val="0"/>
      <w:marTop w:val="0"/>
      <w:marBottom w:val="0"/>
      <w:divBdr>
        <w:top w:val="none" w:sz="0" w:space="0" w:color="auto"/>
        <w:left w:val="none" w:sz="0" w:space="0" w:color="auto"/>
        <w:bottom w:val="none" w:sz="0" w:space="0" w:color="auto"/>
        <w:right w:val="none" w:sz="0" w:space="0" w:color="auto"/>
      </w:divBdr>
    </w:div>
    <w:div w:id="386338022">
      <w:bodyDiv w:val="1"/>
      <w:marLeft w:val="0"/>
      <w:marRight w:val="0"/>
      <w:marTop w:val="0"/>
      <w:marBottom w:val="0"/>
      <w:divBdr>
        <w:top w:val="none" w:sz="0" w:space="0" w:color="auto"/>
        <w:left w:val="none" w:sz="0" w:space="0" w:color="auto"/>
        <w:bottom w:val="none" w:sz="0" w:space="0" w:color="auto"/>
        <w:right w:val="none" w:sz="0" w:space="0" w:color="auto"/>
      </w:divBdr>
    </w:div>
    <w:div w:id="398095928">
      <w:bodyDiv w:val="1"/>
      <w:marLeft w:val="0"/>
      <w:marRight w:val="0"/>
      <w:marTop w:val="0"/>
      <w:marBottom w:val="0"/>
      <w:divBdr>
        <w:top w:val="none" w:sz="0" w:space="0" w:color="auto"/>
        <w:left w:val="none" w:sz="0" w:space="0" w:color="auto"/>
        <w:bottom w:val="none" w:sz="0" w:space="0" w:color="auto"/>
        <w:right w:val="none" w:sz="0" w:space="0" w:color="auto"/>
      </w:divBdr>
    </w:div>
    <w:div w:id="447824152">
      <w:bodyDiv w:val="1"/>
      <w:marLeft w:val="0"/>
      <w:marRight w:val="0"/>
      <w:marTop w:val="0"/>
      <w:marBottom w:val="0"/>
      <w:divBdr>
        <w:top w:val="none" w:sz="0" w:space="0" w:color="auto"/>
        <w:left w:val="none" w:sz="0" w:space="0" w:color="auto"/>
        <w:bottom w:val="none" w:sz="0" w:space="0" w:color="auto"/>
        <w:right w:val="none" w:sz="0" w:space="0" w:color="auto"/>
      </w:divBdr>
    </w:div>
    <w:div w:id="522404464">
      <w:bodyDiv w:val="1"/>
      <w:marLeft w:val="0"/>
      <w:marRight w:val="0"/>
      <w:marTop w:val="0"/>
      <w:marBottom w:val="0"/>
      <w:divBdr>
        <w:top w:val="none" w:sz="0" w:space="0" w:color="auto"/>
        <w:left w:val="none" w:sz="0" w:space="0" w:color="auto"/>
        <w:bottom w:val="none" w:sz="0" w:space="0" w:color="auto"/>
        <w:right w:val="none" w:sz="0" w:space="0" w:color="auto"/>
      </w:divBdr>
    </w:div>
    <w:div w:id="615331934">
      <w:bodyDiv w:val="1"/>
      <w:marLeft w:val="0"/>
      <w:marRight w:val="0"/>
      <w:marTop w:val="0"/>
      <w:marBottom w:val="0"/>
      <w:divBdr>
        <w:top w:val="none" w:sz="0" w:space="0" w:color="auto"/>
        <w:left w:val="none" w:sz="0" w:space="0" w:color="auto"/>
        <w:bottom w:val="none" w:sz="0" w:space="0" w:color="auto"/>
        <w:right w:val="none" w:sz="0" w:space="0" w:color="auto"/>
      </w:divBdr>
    </w:div>
    <w:div w:id="736394237">
      <w:bodyDiv w:val="1"/>
      <w:marLeft w:val="0"/>
      <w:marRight w:val="0"/>
      <w:marTop w:val="0"/>
      <w:marBottom w:val="0"/>
      <w:divBdr>
        <w:top w:val="none" w:sz="0" w:space="0" w:color="auto"/>
        <w:left w:val="none" w:sz="0" w:space="0" w:color="auto"/>
        <w:bottom w:val="none" w:sz="0" w:space="0" w:color="auto"/>
        <w:right w:val="none" w:sz="0" w:space="0" w:color="auto"/>
      </w:divBdr>
    </w:div>
    <w:div w:id="799416903">
      <w:bodyDiv w:val="1"/>
      <w:marLeft w:val="0"/>
      <w:marRight w:val="0"/>
      <w:marTop w:val="0"/>
      <w:marBottom w:val="0"/>
      <w:divBdr>
        <w:top w:val="none" w:sz="0" w:space="0" w:color="auto"/>
        <w:left w:val="none" w:sz="0" w:space="0" w:color="auto"/>
        <w:bottom w:val="none" w:sz="0" w:space="0" w:color="auto"/>
        <w:right w:val="none" w:sz="0" w:space="0" w:color="auto"/>
      </w:divBdr>
    </w:div>
    <w:div w:id="918758170">
      <w:bodyDiv w:val="1"/>
      <w:marLeft w:val="0"/>
      <w:marRight w:val="0"/>
      <w:marTop w:val="0"/>
      <w:marBottom w:val="0"/>
      <w:divBdr>
        <w:top w:val="none" w:sz="0" w:space="0" w:color="auto"/>
        <w:left w:val="none" w:sz="0" w:space="0" w:color="auto"/>
        <w:bottom w:val="none" w:sz="0" w:space="0" w:color="auto"/>
        <w:right w:val="none" w:sz="0" w:space="0" w:color="auto"/>
      </w:divBdr>
      <w:divsChild>
        <w:div w:id="2143116519">
          <w:marLeft w:val="547"/>
          <w:marRight w:val="0"/>
          <w:marTop w:val="77"/>
          <w:marBottom w:val="0"/>
          <w:divBdr>
            <w:top w:val="none" w:sz="0" w:space="0" w:color="auto"/>
            <w:left w:val="none" w:sz="0" w:space="0" w:color="auto"/>
            <w:bottom w:val="none" w:sz="0" w:space="0" w:color="auto"/>
            <w:right w:val="none" w:sz="0" w:space="0" w:color="auto"/>
          </w:divBdr>
        </w:div>
        <w:div w:id="137385229">
          <w:marLeft w:val="547"/>
          <w:marRight w:val="0"/>
          <w:marTop w:val="77"/>
          <w:marBottom w:val="0"/>
          <w:divBdr>
            <w:top w:val="none" w:sz="0" w:space="0" w:color="auto"/>
            <w:left w:val="none" w:sz="0" w:space="0" w:color="auto"/>
            <w:bottom w:val="none" w:sz="0" w:space="0" w:color="auto"/>
            <w:right w:val="none" w:sz="0" w:space="0" w:color="auto"/>
          </w:divBdr>
        </w:div>
        <w:div w:id="1346781612">
          <w:marLeft w:val="547"/>
          <w:marRight w:val="0"/>
          <w:marTop w:val="77"/>
          <w:marBottom w:val="0"/>
          <w:divBdr>
            <w:top w:val="none" w:sz="0" w:space="0" w:color="auto"/>
            <w:left w:val="none" w:sz="0" w:space="0" w:color="auto"/>
            <w:bottom w:val="none" w:sz="0" w:space="0" w:color="auto"/>
            <w:right w:val="none" w:sz="0" w:space="0" w:color="auto"/>
          </w:divBdr>
        </w:div>
        <w:div w:id="1566456529">
          <w:marLeft w:val="547"/>
          <w:marRight w:val="0"/>
          <w:marTop w:val="77"/>
          <w:marBottom w:val="0"/>
          <w:divBdr>
            <w:top w:val="none" w:sz="0" w:space="0" w:color="auto"/>
            <w:left w:val="none" w:sz="0" w:space="0" w:color="auto"/>
            <w:bottom w:val="none" w:sz="0" w:space="0" w:color="auto"/>
            <w:right w:val="none" w:sz="0" w:space="0" w:color="auto"/>
          </w:divBdr>
        </w:div>
        <w:div w:id="284119834">
          <w:marLeft w:val="547"/>
          <w:marRight w:val="0"/>
          <w:marTop w:val="77"/>
          <w:marBottom w:val="0"/>
          <w:divBdr>
            <w:top w:val="none" w:sz="0" w:space="0" w:color="auto"/>
            <w:left w:val="none" w:sz="0" w:space="0" w:color="auto"/>
            <w:bottom w:val="none" w:sz="0" w:space="0" w:color="auto"/>
            <w:right w:val="none" w:sz="0" w:space="0" w:color="auto"/>
          </w:divBdr>
        </w:div>
      </w:divsChild>
    </w:div>
    <w:div w:id="1034162084">
      <w:bodyDiv w:val="1"/>
      <w:marLeft w:val="0"/>
      <w:marRight w:val="0"/>
      <w:marTop w:val="0"/>
      <w:marBottom w:val="0"/>
      <w:divBdr>
        <w:top w:val="none" w:sz="0" w:space="0" w:color="auto"/>
        <w:left w:val="none" w:sz="0" w:space="0" w:color="auto"/>
        <w:bottom w:val="none" w:sz="0" w:space="0" w:color="auto"/>
        <w:right w:val="none" w:sz="0" w:space="0" w:color="auto"/>
      </w:divBdr>
    </w:div>
    <w:div w:id="1152595636">
      <w:bodyDiv w:val="1"/>
      <w:marLeft w:val="0"/>
      <w:marRight w:val="0"/>
      <w:marTop w:val="0"/>
      <w:marBottom w:val="0"/>
      <w:divBdr>
        <w:top w:val="none" w:sz="0" w:space="0" w:color="auto"/>
        <w:left w:val="none" w:sz="0" w:space="0" w:color="auto"/>
        <w:bottom w:val="none" w:sz="0" w:space="0" w:color="auto"/>
        <w:right w:val="none" w:sz="0" w:space="0" w:color="auto"/>
      </w:divBdr>
    </w:div>
    <w:div w:id="1235120383">
      <w:bodyDiv w:val="1"/>
      <w:marLeft w:val="0"/>
      <w:marRight w:val="0"/>
      <w:marTop w:val="0"/>
      <w:marBottom w:val="0"/>
      <w:divBdr>
        <w:top w:val="none" w:sz="0" w:space="0" w:color="auto"/>
        <w:left w:val="none" w:sz="0" w:space="0" w:color="auto"/>
        <w:bottom w:val="none" w:sz="0" w:space="0" w:color="auto"/>
        <w:right w:val="none" w:sz="0" w:space="0" w:color="auto"/>
      </w:divBdr>
    </w:div>
    <w:div w:id="1267927028">
      <w:bodyDiv w:val="1"/>
      <w:marLeft w:val="0"/>
      <w:marRight w:val="0"/>
      <w:marTop w:val="0"/>
      <w:marBottom w:val="0"/>
      <w:divBdr>
        <w:top w:val="none" w:sz="0" w:space="0" w:color="auto"/>
        <w:left w:val="none" w:sz="0" w:space="0" w:color="auto"/>
        <w:bottom w:val="none" w:sz="0" w:space="0" w:color="auto"/>
        <w:right w:val="none" w:sz="0" w:space="0" w:color="auto"/>
      </w:divBdr>
    </w:div>
    <w:div w:id="1310668305">
      <w:bodyDiv w:val="1"/>
      <w:marLeft w:val="0"/>
      <w:marRight w:val="0"/>
      <w:marTop w:val="0"/>
      <w:marBottom w:val="0"/>
      <w:divBdr>
        <w:top w:val="none" w:sz="0" w:space="0" w:color="auto"/>
        <w:left w:val="none" w:sz="0" w:space="0" w:color="auto"/>
        <w:bottom w:val="none" w:sz="0" w:space="0" w:color="auto"/>
        <w:right w:val="none" w:sz="0" w:space="0" w:color="auto"/>
      </w:divBdr>
    </w:div>
    <w:div w:id="1367632940">
      <w:bodyDiv w:val="1"/>
      <w:marLeft w:val="0"/>
      <w:marRight w:val="0"/>
      <w:marTop w:val="0"/>
      <w:marBottom w:val="0"/>
      <w:divBdr>
        <w:top w:val="none" w:sz="0" w:space="0" w:color="auto"/>
        <w:left w:val="none" w:sz="0" w:space="0" w:color="auto"/>
        <w:bottom w:val="none" w:sz="0" w:space="0" w:color="auto"/>
        <w:right w:val="none" w:sz="0" w:space="0" w:color="auto"/>
      </w:divBdr>
    </w:div>
    <w:div w:id="1393889388">
      <w:bodyDiv w:val="1"/>
      <w:marLeft w:val="0"/>
      <w:marRight w:val="0"/>
      <w:marTop w:val="0"/>
      <w:marBottom w:val="0"/>
      <w:divBdr>
        <w:top w:val="none" w:sz="0" w:space="0" w:color="auto"/>
        <w:left w:val="none" w:sz="0" w:space="0" w:color="auto"/>
        <w:bottom w:val="none" w:sz="0" w:space="0" w:color="auto"/>
        <w:right w:val="none" w:sz="0" w:space="0" w:color="auto"/>
      </w:divBdr>
    </w:div>
    <w:div w:id="1603217843">
      <w:bodyDiv w:val="1"/>
      <w:marLeft w:val="0"/>
      <w:marRight w:val="0"/>
      <w:marTop w:val="0"/>
      <w:marBottom w:val="0"/>
      <w:divBdr>
        <w:top w:val="none" w:sz="0" w:space="0" w:color="auto"/>
        <w:left w:val="none" w:sz="0" w:space="0" w:color="auto"/>
        <w:bottom w:val="none" w:sz="0" w:space="0" w:color="auto"/>
        <w:right w:val="none" w:sz="0" w:space="0" w:color="auto"/>
      </w:divBdr>
    </w:div>
    <w:div w:id="1658263358">
      <w:bodyDiv w:val="1"/>
      <w:marLeft w:val="0"/>
      <w:marRight w:val="0"/>
      <w:marTop w:val="0"/>
      <w:marBottom w:val="0"/>
      <w:divBdr>
        <w:top w:val="none" w:sz="0" w:space="0" w:color="auto"/>
        <w:left w:val="none" w:sz="0" w:space="0" w:color="auto"/>
        <w:bottom w:val="none" w:sz="0" w:space="0" w:color="auto"/>
        <w:right w:val="none" w:sz="0" w:space="0" w:color="auto"/>
      </w:divBdr>
    </w:div>
    <w:div w:id="1759868431">
      <w:bodyDiv w:val="1"/>
      <w:marLeft w:val="0"/>
      <w:marRight w:val="0"/>
      <w:marTop w:val="0"/>
      <w:marBottom w:val="0"/>
      <w:divBdr>
        <w:top w:val="none" w:sz="0" w:space="0" w:color="auto"/>
        <w:left w:val="none" w:sz="0" w:space="0" w:color="auto"/>
        <w:bottom w:val="none" w:sz="0" w:space="0" w:color="auto"/>
        <w:right w:val="none" w:sz="0" w:space="0" w:color="auto"/>
      </w:divBdr>
      <w:divsChild>
        <w:div w:id="61682629">
          <w:marLeft w:val="547"/>
          <w:marRight w:val="0"/>
          <w:marTop w:val="0"/>
          <w:marBottom w:val="0"/>
          <w:divBdr>
            <w:top w:val="none" w:sz="0" w:space="0" w:color="auto"/>
            <w:left w:val="none" w:sz="0" w:space="0" w:color="auto"/>
            <w:bottom w:val="none" w:sz="0" w:space="0" w:color="auto"/>
            <w:right w:val="none" w:sz="0" w:space="0" w:color="auto"/>
          </w:divBdr>
        </w:div>
        <w:div w:id="1472671405">
          <w:marLeft w:val="547"/>
          <w:marRight w:val="0"/>
          <w:marTop w:val="0"/>
          <w:marBottom w:val="0"/>
          <w:divBdr>
            <w:top w:val="none" w:sz="0" w:space="0" w:color="auto"/>
            <w:left w:val="none" w:sz="0" w:space="0" w:color="auto"/>
            <w:bottom w:val="none" w:sz="0" w:space="0" w:color="auto"/>
            <w:right w:val="none" w:sz="0" w:space="0" w:color="auto"/>
          </w:divBdr>
        </w:div>
        <w:div w:id="1192449560">
          <w:marLeft w:val="547"/>
          <w:marRight w:val="0"/>
          <w:marTop w:val="0"/>
          <w:marBottom w:val="0"/>
          <w:divBdr>
            <w:top w:val="none" w:sz="0" w:space="0" w:color="auto"/>
            <w:left w:val="none" w:sz="0" w:space="0" w:color="auto"/>
            <w:bottom w:val="none" w:sz="0" w:space="0" w:color="auto"/>
            <w:right w:val="none" w:sz="0" w:space="0" w:color="auto"/>
          </w:divBdr>
        </w:div>
      </w:divsChild>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 w:id="1932930115">
      <w:bodyDiv w:val="1"/>
      <w:marLeft w:val="0"/>
      <w:marRight w:val="0"/>
      <w:marTop w:val="0"/>
      <w:marBottom w:val="0"/>
      <w:divBdr>
        <w:top w:val="none" w:sz="0" w:space="0" w:color="auto"/>
        <w:left w:val="none" w:sz="0" w:space="0" w:color="auto"/>
        <w:bottom w:val="none" w:sz="0" w:space="0" w:color="auto"/>
        <w:right w:val="none" w:sz="0" w:space="0" w:color="auto"/>
      </w:divBdr>
    </w:div>
    <w:div w:id="2005743639">
      <w:bodyDiv w:val="1"/>
      <w:marLeft w:val="0"/>
      <w:marRight w:val="0"/>
      <w:marTop w:val="0"/>
      <w:marBottom w:val="0"/>
      <w:divBdr>
        <w:top w:val="none" w:sz="0" w:space="0" w:color="auto"/>
        <w:left w:val="none" w:sz="0" w:space="0" w:color="auto"/>
        <w:bottom w:val="none" w:sz="0" w:space="0" w:color="auto"/>
        <w:right w:val="none" w:sz="0" w:space="0" w:color="auto"/>
      </w:divBdr>
    </w:div>
    <w:div w:id="2132042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4487</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dhm1b</dc:creator>
  <cp:keywords/>
  <dc:description/>
  <cp:lastModifiedBy>Amber Higgins</cp:lastModifiedBy>
  <cp:revision>3</cp:revision>
  <cp:lastPrinted>2022-11-16T15:43:00Z</cp:lastPrinted>
  <dcterms:created xsi:type="dcterms:W3CDTF">2024-11-21T11:49:00Z</dcterms:created>
  <dcterms:modified xsi:type="dcterms:W3CDTF">2024-11-21T11:54:00Z</dcterms:modified>
</cp:coreProperties>
</file>