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822145" w:displacedByCustomXml="next"/>
    <w:bookmarkEnd w:id="0" w:displacedByCustomXml="next"/>
    <w:sdt>
      <w:sdtPr>
        <w:id w:val="-688904198"/>
        <w:docPartObj>
          <w:docPartGallery w:val="Cover Pages"/>
          <w:docPartUnique/>
        </w:docPartObj>
      </w:sdtPr>
      <w:sdtEndPr>
        <w:rPr>
          <w:b/>
          <w:sz w:val="28"/>
          <w:szCs w:val="28"/>
        </w:rPr>
      </w:sdtEndPr>
      <w:sdtContent>
        <w:p w14:paraId="3283E2DE" w14:textId="467AFCA1" w:rsidR="009E21E3" w:rsidRDefault="002B6B27" w:rsidP="00B62519">
          <w:pPr>
            <w:tabs>
              <w:tab w:val="left" w:pos="142"/>
            </w:tabs>
            <w:rPr>
              <w:b/>
              <w:sz w:val="28"/>
              <w:szCs w:val="28"/>
            </w:rPr>
          </w:pPr>
          <w:r>
            <w:rPr>
              <w:b/>
              <w:noProof/>
              <w:sz w:val="28"/>
              <w:szCs w:val="28"/>
            </w:rPr>
            <w:drawing>
              <wp:anchor distT="0" distB="0" distL="114300" distR="114300" simplePos="0" relativeHeight="251658240" behindDoc="0" locked="0" layoutInCell="1" allowOverlap="1" wp14:anchorId="773A8982" wp14:editId="19DA8A39">
                <wp:simplePos x="0" y="0"/>
                <wp:positionH relativeFrom="column">
                  <wp:posOffset>-552450</wp:posOffset>
                </wp:positionH>
                <wp:positionV relativeFrom="page">
                  <wp:posOffset>336550</wp:posOffset>
                </wp:positionV>
                <wp:extent cx="6800850" cy="1212850"/>
                <wp:effectExtent l="0" t="0" r="0" b="6350"/>
                <wp:wrapSquare wrapText="bothSides"/>
                <wp:docPr id="2068321012" name="Picture 3" descr="A black backgroun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8321012" name="Picture 3" descr="A black background with blu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00850" cy="1212850"/>
                        </a:xfrm>
                        <a:prstGeom prst="rect">
                          <a:avLst/>
                        </a:prstGeom>
                      </pic:spPr>
                    </pic:pic>
                  </a:graphicData>
                </a:graphic>
                <wp14:sizeRelH relativeFrom="page">
                  <wp14:pctWidth>0</wp14:pctWidth>
                </wp14:sizeRelH>
                <wp14:sizeRelV relativeFrom="page">
                  <wp14:pctHeight>0</wp14:pctHeight>
                </wp14:sizeRelV>
              </wp:anchor>
            </w:drawing>
          </w:r>
        </w:p>
        <w:p w14:paraId="633C7E44" w14:textId="0F410BE0" w:rsidR="009E21E3" w:rsidRDefault="009E21E3" w:rsidP="00B62519">
          <w:pPr>
            <w:tabs>
              <w:tab w:val="left" w:pos="142"/>
            </w:tabs>
            <w:rPr>
              <w:b/>
              <w:sz w:val="28"/>
              <w:szCs w:val="28"/>
            </w:rPr>
          </w:pPr>
        </w:p>
        <w:p w14:paraId="39B009F1" w14:textId="4EE0D15C" w:rsidR="00496CC8" w:rsidRDefault="005E37D6" w:rsidP="00496CC8">
          <w:pPr>
            <w:pStyle w:val="Heading1"/>
            <w:jc w:val="center"/>
          </w:pPr>
          <w:r>
            <w:t xml:space="preserve">SIPHER </w:t>
          </w:r>
          <w:r w:rsidR="00496CC8">
            <w:t>Layered Systems Map:</w:t>
          </w:r>
        </w:p>
        <w:p w14:paraId="3FAA6D4E" w14:textId="77777777" w:rsidR="005E37D6" w:rsidRDefault="00496CC8" w:rsidP="00496CC8">
          <w:pPr>
            <w:pStyle w:val="Heading1"/>
            <w:jc w:val="center"/>
          </w:pPr>
          <w:r>
            <w:t xml:space="preserve">Experiences and evidence of </w:t>
          </w:r>
        </w:p>
        <w:p w14:paraId="317A3DF7" w14:textId="21CC8F84" w:rsidR="00496CC8" w:rsidRDefault="00496CC8" w:rsidP="00496CC8">
          <w:pPr>
            <w:pStyle w:val="Heading1"/>
            <w:jc w:val="center"/>
          </w:pPr>
          <w:r>
            <w:t>housing and health</w:t>
          </w:r>
        </w:p>
        <w:p w14:paraId="4ECFDEB3" w14:textId="3A1E42E2" w:rsidR="009E21E3" w:rsidRDefault="00496CC8" w:rsidP="00496CC8">
          <w:pPr>
            <w:pStyle w:val="Heading1"/>
            <w:jc w:val="center"/>
          </w:pPr>
          <w:r>
            <w:t xml:space="preserve">Evidence </w:t>
          </w:r>
          <w:r w:rsidR="005E37D6">
            <w:t>S</w:t>
          </w:r>
          <w:r>
            <w:t>ummaries</w:t>
          </w:r>
        </w:p>
        <w:p w14:paraId="0D35174C" w14:textId="67EFAC4B" w:rsidR="00A04CE8" w:rsidRPr="00B62519" w:rsidRDefault="00000000" w:rsidP="00B62519">
          <w:pPr>
            <w:tabs>
              <w:tab w:val="left" w:pos="142"/>
            </w:tabs>
          </w:pPr>
        </w:p>
      </w:sdtContent>
    </w:sdt>
    <w:p w14:paraId="7F1FD58E" w14:textId="77777777" w:rsidR="00503847" w:rsidRDefault="00503847" w:rsidP="005B70EC"/>
    <w:p w14:paraId="3CA2CE06" w14:textId="77777777" w:rsidR="005B70EC" w:rsidRDefault="00D6644C" w:rsidP="005B70EC">
      <w:r>
        <w:t xml:space="preserve">This document provides copies of each of the six evidence summaries displayed on the SIPHER Layered Systems Map: experience and evidence of housing and health. </w:t>
      </w:r>
    </w:p>
    <w:p w14:paraId="7F1FD58F" w14:textId="19BDD93E" w:rsidR="00503847" w:rsidRDefault="00D6644C" w:rsidP="005B70EC">
      <w:r>
        <w:t xml:space="preserve">These evidence summaries align with the six themes of the </w:t>
      </w:r>
      <w:r w:rsidR="005B70EC">
        <w:t>map’s</w:t>
      </w:r>
      <w:r>
        <w:t xml:space="preserve"> sublayers: neighbourhood; quality and condition; energy efficiency; choice and power; stability and support; cost and affordability. </w:t>
      </w:r>
    </w:p>
    <w:p w14:paraId="7F1FD590" w14:textId="5C564571" w:rsidR="00503847" w:rsidRDefault="00D6644C" w:rsidP="005B70EC">
      <w:r>
        <w:t>The summaries are designed to be used alongside the map itself, rather than as a standalone product. Copies of the maps can be downloaded directly from the mapping tool, located on the SIPHER website.</w:t>
      </w:r>
    </w:p>
    <w:p w14:paraId="0D048A01" w14:textId="7BDE24C1" w:rsidR="005B70EC" w:rsidRDefault="005B70EC" w:rsidP="005B70EC">
      <w:r>
        <w:t xml:space="preserve">Visit: </w:t>
      </w:r>
      <w:hyperlink r:id="rId13" w:history="1">
        <w:r w:rsidR="00D17870" w:rsidRPr="00D36E45">
          <w:rPr>
            <w:rStyle w:val="Hyperlink"/>
          </w:rPr>
          <w:t>www.gla.ac.uk/research/az/sipher/products/layeredsystemsmaphousingandhealth/</w:t>
        </w:r>
      </w:hyperlink>
    </w:p>
    <w:p w14:paraId="7F1FD591" w14:textId="77777777" w:rsidR="00503847" w:rsidRDefault="00D6644C" w:rsidP="005B70EC">
      <w:r>
        <w:t>Each summary provides detailed references from the peer-reviewed academic evidence base, as well as a list of open access further reading from both the peer reviewed and grey literature bases.</w:t>
      </w:r>
    </w:p>
    <w:p w14:paraId="7F1FD592" w14:textId="77777777" w:rsidR="00503847" w:rsidRDefault="00503847" w:rsidP="005B70EC"/>
    <w:p w14:paraId="7F1FD593" w14:textId="77777777" w:rsidR="00503847" w:rsidRDefault="00D6644C" w:rsidP="005B70EC">
      <w:pPr>
        <w:rPr>
          <w:b/>
        </w:rPr>
      </w:pPr>
      <w:r>
        <w:br w:type="page"/>
      </w:r>
    </w:p>
    <w:p w14:paraId="7F1FD594" w14:textId="0DB1BE32" w:rsidR="00503847" w:rsidRDefault="00D6644C" w:rsidP="00755CD7">
      <w:pPr>
        <w:pStyle w:val="Heading2"/>
        <w:rPr>
          <w:rFonts w:eastAsia="Calibri"/>
        </w:rPr>
      </w:pPr>
      <w:r>
        <w:rPr>
          <w:rFonts w:eastAsia="Calibri"/>
        </w:rPr>
        <w:lastRenderedPageBreak/>
        <w:t>Neighbourhood</w:t>
      </w:r>
    </w:p>
    <w:p w14:paraId="3102CC3F" w14:textId="77777777" w:rsidR="006A3DA3" w:rsidRPr="006A3DA3" w:rsidRDefault="006A3DA3" w:rsidP="006A3DA3"/>
    <w:p w14:paraId="7F1FD595" w14:textId="77777777" w:rsidR="00503847" w:rsidRDefault="00D6644C" w:rsidP="005B70EC">
      <w:r>
        <w:t>The neighbourhood is made up of the social environment and the physical environment and both have evidenced impacts on mental and physical health.</w:t>
      </w:r>
    </w:p>
    <w:p w14:paraId="7F1FD596" w14:textId="21994FF3" w:rsidR="00266D65" w:rsidRDefault="00D6644C" w:rsidP="005B70EC">
      <w:r>
        <w:t>The social neighbourhood environment can improve health outcomes by providing supportive social relationships and a sense of solidarity with neighbours. It can also provide collective efficacy, which is the feeling that neighbours can, should and will intervene to improve difficult, dangerous or damaging situations within their neighbourhood</w:t>
      </w:r>
      <w:r w:rsidR="00266D65">
        <w:rPr>
          <w:vertAlign w:val="superscript"/>
        </w:rPr>
        <w:endnoteReference w:id="2"/>
      </w:r>
      <w:r w:rsidR="00266D65">
        <w:t>. Taken together, these aspects of a high-quality social neighbourhood environment provide a sense of safety, security and belonging that can combat loneliness and isolation</w:t>
      </w:r>
      <w:r w:rsidR="00266D65">
        <w:rPr>
          <w:vertAlign w:val="superscript"/>
        </w:rPr>
        <w:endnoteReference w:id="3"/>
      </w:r>
      <w:r w:rsidR="00266D65">
        <w:t>. This has a positive impact on mental health</w:t>
      </w:r>
      <w:r w:rsidR="00266D65">
        <w:rPr>
          <w:vertAlign w:val="superscript"/>
        </w:rPr>
        <w:endnoteReference w:id="4"/>
      </w:r>
      <w:r w:rsidR="00266D65">
        <w:t>. This positive social neighbourhood environment can be encouraged by community ownership of local buildings and resources</w:t>
      </w:r>
      <w:r w:rsidR="00266D65">
        <w:rPr>
          <w:vertAlign w:val="superscript"/>
        </w:rPr>
        <w:endnoteReference w:id="5"/>
      </w:r>
      <w:r w:rsidR="00266D65">
        <w:t>.</w:t>
      </w:r>
    </w:p>
    <w:p w14:paraId="7F1FD597" w14:textId="77777777" w:rsidR="00266D65" w:rsidRDefault="00266D65" w:rsidP="005B70EC">
      <w:r>
        <w:t>The social neighbourhood environment can also reinforce actions and behaviours among residents. This could include, for example, encouraging or discouraging aggression, victimisation, vandalism, drug and alcohol use or violence</w:t>
      </w:r>
      <w:r>
        <w:rPr>
          <w:vertAlign w:val="superscript"/>
        </w:rPr>
        <w:endnoteReference w:id="6"/>
      </w:r>
      <w:r>
        <w:t>. These actions can impact directly on physical and mental health through, for example, experiences of physical violence</w:t>
      </w:r>
      <w:r>
        <w:rPr>
          <w:vertAlign w:val="superscript"/>
        </w:rPr>
        <w:endnoteReference w:id="7"/>
      </w:r>
      <w:r>
        <w:t>, or discrimination based on living in a stigmatised neighbourhood or home</w:t>
      </w:r>
      <w:r>
        <w:rPr>
          <w:vertAlign w:val="superscript"/>
        </w:rPr>
        <w:endnoteReference w:id="8"/>
      </w:r>
      <w:r>
        <w:t>. They can also undermine residents’ sense of safety, security and belonging, as well as potentially damaging the physical quality of the neighbourhood</w:t>
      </w:r>
      <w:r>
        <w:rPr>
          <w:vertAlign w:val="superscript"/>
        </w:rPr>
        <w:endnoteReference w:id="9"/>
      </w:r>
      <w:r>
        <w:t xml:space="preserve">. </w:t>
      </w:r>
    </w:p>
    <w:p w14:paraId="2060565F" w14:textId="4E39C735" w:rsidR="00266D65" w:rsidRDefault="00266D65" w:rsidP="00FA41A9">
      <w:r>
        <w:t>The physical neighbourhood environment is underlain by the presence and quality of services and infrastructure in the local area, including access to and the quality of green (plants and wildlife) and blue (water) spaces. Even if they are present, some residents may struggle to access or enjoy certain parts of the neighbourhood due to a lack of safety or because those spaces or services are poorly designed or maintained. This can, in turn, impact on physical activity levels, as well as directly on stress and mental health</w:t>
      </w:r>
      <w:r>
        <w:rPr>
          <w:vertAlign w:val="superscript"/>
        </w:rPr>
        <w:endnoteReference w:id="10"/>
      </w:r>
      <w:r>
        <w:t>.</w:t>
      </w:r>
    </w:p>
    <w:p w14:paraId="167557EC" w14:textId="77777777" w:rsidR="00FA41A9" w:rsidRDefault="00FA41A9" w:rsidP="00FA41A9"/>
    <w:p w14:paraId="3A85B93E" w14:textId="77777777" w:rsidR="00147EB7" w:rsidRPr="00FA41A9" w:rsidRDefault="00147EB7" w:rsidP="00FA41A9"/>
    <w:p w14:paraId="7F1FD59A" w14:textId="71C658FB" w:rsidR="00266D65" w:rsidRDefault="00266D65" w:rsidP="00231988">
      <w:pPr>
        <w:pStyle w:val="Heading3"/>
        <w:rPr>
          <w:rFonts w:eastAsia="Calibri"/>
        </w:rPr>
      </w:pPr>
      <w:r>
        <w:rPr>
          <w:rFonts w:eastAsia="Calibri"/>
        </w:rPr>
        <w:t>Further reading</w:t>
      </w:r>
    </w:p>
    <w:p w14:paraId="7F1FD59B" w14:textId="77777777" w:rsidR="00266D65" w:rsidRPr="00231988" w:rsidRDefault="00266D65" w:rsidP="005B70EC">
      <w:r w:rsidRPr="00231988">
        <w:t>Academic research evidence:</w:t>
      </w:r>
    </w:p>
    <w:p w14:paraId="7F1FD59C" w14:textId="77777777" w:rsidR="00266D65" w:rsidRDefault="00266D65" w:rsidP="00231988">
      <w:pPr>
        <w:pStyle w:val="ListParagraph"/>
        <w:numPr>
          <w:ilvl w:val="0"/>
          <w:numId w:val="1"/>
        </w:numPr>
      </w:pPr>
      <w:hyperlink r:id="rId14">
        <w:r w:rsidRPr="00231988">
          <w:rPr>
            <w:color w:val="1155CC"/>
            <w:u w:val="single"/>
          </w:rPr>
          <w:t>Housing as a social determinant of health and wellbeing: developing an empirically-informed realist framework (2020)</w:t>
        </w:r>
      </w:hyperlink>
    </w:p>
    <w:p w14:paraId="7F1FD59D" w14:textId="77777777" w:rsidR="00266D65" w:rsidRDefault="00266D65" w:rsidP="00231988">
      <w:pPr>
        <w:pStyle w:val="ListParagraph"/>
        <w:numPr>
          <w:ilvl w:val="0"/>
          <w:numId w:val="1"/>
        </w:numPr>
      </w:pPr>
      <w:hyperlink r:id="rId15">
        <w:r w:rsidRPr="00231988">
          <w:rPr>
            <w:color w:val="1155CC"/>
            <w:u w:val="single"/>
          </w:rPr>
          <w:t>Housing as a determinant of health equity: a conceptual model (2019)</w:t>
        </w:r>
      </w:hyperlink>
    </w:p>
    <w:p w14:paraId="7F1FD59E" w14:textId="77777777" w:rsidR="00266D65" w:rsidRPr="00231988" w:rsidRDefault="00266D65" w:rsidP="00231988">
      <w:pPr>
        <w:pStyle w:val="ListParagraph"/>
        <w:numPr>
          <w:ilvl w:val="0"/>
          <w:numId w:val="1"/>
        </w:numPr>
      </w:pPr>
      <w:hyperlink r:id="rId16">
        <w:r w:rsidRPr="00231988">
          <w:rPr>
            <w:color w:val="1155CC"/>
          </w:rPr>
          <w:t>Housing and health inequalities: a synthesis of reviews of interventions aimed at different pathways linking housing and health (2011)</w:t>
        </w:r>
      </w:hyperlink>
    </w:p>
    <w:p w14:paraId="7F1FD59F" w14:textId="77777777" w:rsidR="00266D65" w:rsidRPr="00231988" w:rsidRDefault="00266D65" w:rsidP="005B70EC">
      <w:r w:rsidRPr="00231988">
        <w:t>Research evidence from the UK Collaborative Centre for Housing Evidence:</w:t>
      </w:r>
    </w:p>
    <w:p w14:paraId="385B3953" w14:textId="06D4CA43" w:rsidR="00236418" w:rsidRDefault="00266D65" w:rsidP="00236418">
      <w:pPr>
        <w:pStyle w:val="ListParagraph"/>
        <w:numPr>
          <w:ilvl w:val="0"/>
          <w:numId w:val="2"/>
        </w:numPr>
      </w:pPr>
      <w:hyperlink r:id="rId17">
        <w:r w:rsidRPr="00231988">
          <w:rPr>
            <w:color w:val="1155CC"/>
            <w:u w:val="single"/>
          </w:rPr>
          <w:t>Impact of housing design and placemaking on social value and wellbeing in the pandemic (2020)</w:t>
        </w:r>
      </w:hyperlink>
    </w:p>
    <w:p w14:paraId="45DE0E1C" w14:textId="77777777" w:rsidR="00147EB7" w:rsidRDefault="00147EB7" w:rsidP="00236418"/>
    <w:p w14:paraId="383981CB" w14:textId="77777777" w:rsidR="00147EB7" w:rsidRPr="00FA41A9" w:rsidRDefault="00147EB7" w:rsidP="00236418"/>
    <w:p w14:paraId="37682A2C" w14:textId="4AC037B3" w:rsidR="00FA41A9" w:rsidRDefault="00FA41A9" w:rsidP="00FA41A9">
      <w:pPr>
        <w:pStyle w:val="Heading3"/>
        <w:rPr>
          <w:rFonts w:eastAsia="Calibri"/>
        </w:rPr>
      </w:pPr>
      <w:r>
        <w:lastRenderedPageBreak/>
        <w:t>References</w:t>
      </w:r>
    </w:p>
    <w:p w14:paraId="60CC0F92" w14:textId="77777777" w:rsidR="00266D65" w:rsidRDefault="00266D65" w:rsidP="005B70EC">
      <w:pPr>
        <w:sectPr w:rsidR="00266D65" w:rsidSect="00266D65">
          <w:footnotePr>
            <w:pos w:val="beneathText"/>
          </w:footnotePr>
          <w:endnotePr>
            <w:numFmt w:val="decimal"/>
          </w:endnotePr>
          <w:pgSz w:w="11906" w:h="16838" w:code="9"/>
          <w:pgMar w:top="1440" w:right="1440" w:bottom="1440" w:left="1440" w:header="1418" w:footer="1418" w:gutter="0"/>
          <w:pgNumType w:start="0"/>
          <w:cols w:space="720"/>
          <w:titlePg/>
          <w:docGrid w:linePitch="326"/>
        </w:sectPr>
      </w:pPr>
    </w:p>
    <w:p w14:paraId="7F1FD5A1" w14:textId="77777777" w:rsidR="00266D65" w:rsidRDefault="00266D65" w:rsidP="005B70EC"/>
    <w:p w14:paraId="7F1FD5A2" w14:textId="77777777" w:rsidR="00266D65" w:rsidRDefault="00266D65" w:rsidP="005B70EC">
      <w:pPr>
        <w:rPr>
          <w:b/>
        </w:rPr>
      </w:pPr>
      <w:r>
        <w:br w:type="page"/>
      </w:r>
    </w:p>
    <w:p w14:paraId="7F1FD5A3" w14:textId="77777777" w:rsidR="00266D65" w:rsidRDefault="00266D65" w:rsidP="00FA41A9">
      <w:pPr>
        <w:pStyle w:val="Heading2"/>
        <w:rPr>
          <w:rFonts w:eastAsia="Calibri"/>
        </w:rPr>
      </w:pPr>
      <w:r>
        <w:rPr>
          <w:rFonts w:eastAsia="Calibri"/>
        </w:rPr>
        <w:lastRenderedPageBreak/>
        <w:t>Quality and condition</w:t>
      </w:r>
    </w:p>
    <w:p w14:paraId="3E152AD2" w14:textId="77777777" w:rsidR="00147EB7" w:rsidRDefault="00147EB7" w:rsidP="005B70EC"/>
    <w:p w14:paraId="7F1FD5A4" w14:textId="11351FE4" w:rsidR="00266D65" w:rsidRDefault="00266D65" w:rsidP="005B70EC">
      <w:r>
        <w:t>The quality and condition of housing includes its energy efficiency, the presence or absence of hazards in the home and the functionality of essential features, such as kitchens. These aspects are determined by the underlying quality of local housing stock, as well as responsiveness of property owners (both landlords and owner occupiers) to the need for maintenance and repairs</w:t>
      </w:r>
      <w:r>
        <w:rPr>
          <w:vertAlign w:val="superscript"/>
        </w:rPr>
        <w:endnoteReference w:id="11"/>
      </w:r>
      <w:r>
        <w:t>. Housing quality and condition have been shown to impact on both mental and physical health outcomes</w:t>
      </w:r>
      <w:r>
        <w:rPr>
          <w:vertAlign w:val="superscript"/>
        </w:rPr>
        <w:endnoteReference w:id="12"/>
      </w:r>
      <w:r>
        <w:t>.</w:t>
      </w:r>
    </w:p>
    <w:p w14:paraId="7F1FD5A5" w14:textId="77777777" w:rsidR="00266D65" w:rsidRDefault="00266D65" w:rsidP="005B70EC">
      <w:r>
        <w:t>In terms of physical health, overcrowding and not being able to keep the home warm increase the likelihood of illness</w:t>
      </w:r>
      <w:r>
        <w:rPr>
          <w:vertAlign w:val="superscript"/>
        </w:rPr>
        <w:endnoteReference w:id="13"/>
      </w:r>
      <w:r>
        <w:t>, while sub-standard kitchens can impact on the ability eat a healthy diet</w:t>
      </w:r>
      <w:r>
        <w:rPr>
          <w:vertAlign w:val="superscript"/>
        </w:rPr>
        <w:endnoteReference w:id="14"/>
      </w:r>
      <w:r>
        <w:t>, and building hazards create the risk of injuries and poisonings</w:t>
      </w:r>
      <w:r>
        <w:rPr>
          <w:vertAlign w:val="superscript"/>
        </w:rPr>
        <w:endnoteReference w:id="15"/>
      </w:r>
      <w:r>
        <w:t>. This impacts on the health of people of all ages, but for older householders can present a significant risk to being able to live independently</w:t>
      </w:r>
      <w:r>
        <w:rPr>
          <w:vertAlign w:val="superscript"/>
        </w:rPr>
        <w:endnoteReference w:id="16"/>
      </w:r>
      <w:r>
        <w:t>. Overcrowding, in particular, can impact upon relationships with other householders, undermine support and generate chronic stress</w:t>
      </w:r>
      <w:r>
        <w:rPr>
          <w:vertAlign w:val="superscript"/>
        </w:rPr>
        <w:endnoteReference w:id="17"/>
      </w:r>
      <w:r>
        <w:t>.</w:t>
      </w:r>
    </w:p>
    <w:p w14:paraId="7F1FD5A6" w14:textId="77777777" w:rsidR="00266D65" w:rsidRDefault="00266D65" w:rsidP="005B70EC">
      <w:r>
        <w:t>Housing in poor condition also impacts on mental health by undermining householders’ sense of home. Only when housing is warm, functional and safe, can people establish the home as a secure base in which they feel belonging and over which they feel a sense of ownership</w:t>
      </w:r>
      <w:r>
        <w:rPr>
          <w:vertAlign w:val="superscript"/>
        </w:rPr>
        <w:endnoteReference w:id="18"/>
      </w:r>
      <w:r>
        <w:t>. Successfully establishing a sense of home can support people to cope with chronic stress from other (non-housing) sources and protect mental health. It can also support the development of local friendships and support networks</w:t>
      </w:r>
      <w:r>
        <w:rPr>
          <w:vertAlign w:val="superscript"/>
        </w:rPr>
        <w:endnoteReference w:id="19"/>
      </w:r>
      <w:r>
        <w:t xml:space="preserve">, which can help to combat loneliness and provide wider support.  </w:t>
      </w:r>
    </w:p>
    <w:p w14:paraId="7F1FD5A7" w14:textId="77777777" w:rsidR="00266D65" w:rsidRDefault="00266D65" w:rsidP="005B70EC">
      <w:r>
        <w:t>Finally, the legal framework around tenants’ rights to demand housing repairs has an impact on health, both via its impact on housing quality, as well as via the sense of power (or powerlessness) it supplies to tenants directly</w:t>
      </w:r>
      <w:r>
        <w:rPr>
          <w:vertAlign w:val="superscript"/>
        </w:rPr>
        <w:endnoteReference w:id="20"/>
      </w:r>
      <w:r>
        <w:t>. These rights exist as part of the wider legislative framework around renting and intersect with landlord’s rights to evict. Weak tenants’ rights generate a sense of powerlessness, as well as a reluctance to raise repairs issues, which impact on both mental health outcomes and housing condition itself.</w:t>
      </w:r>
    </w:p>
    <w:p w14:paraId="7F1FD5A8" w14:textId="77777777" w:rsidR="00266D65" w:rsidRDefault="00266D65" w:rsidP="005B70EC"/>
    <w:p w14:paraId="434B6845" w14:textId="77777777" w:rsidR="008F2DDA" w:rsidRDefault="008F2DDA" w:rsidP="005B70EC"/>
    <w:p w14:paraId="7F1FD5A9" w14:textId="61507EE8" w:rsidR="00266D65" w:rsidRDefault="00266D65" w:rsidP="00FA41A9">
      <w:pPr>
        <w:pStyle w:val="Heading3"/>
        <w:rPr>
          <w:rFonts w:eastAsia="Calibri"/>
        </w:rPr>
      </w:pPr>
      <w:r>
        <w:rPr>
          <w:rFonts w:eastAsia="Calibri"/>
        </w:rPr>
        <w:t>Further reading</w:t>
      </w:r>
    </w:p>
    <w:p w14:paraId="7F1FD5AA" w14:textId="77777777" w:rsidR="00266D65" w:rsidRPr="00FA41A9" w:rsidRDefault="00266D65" w:rsidP="00FA41A9">
      <w:r w:rsidRPr="00FA41A9">
        <w:t>Academic evidence based on quantitative research:</w:t>
      </w:r>
    </w:p>
    <w:p w14:paraId="7F1FD5AB" w14:textId="77777777" w:rsidR="00266D65" w:rsidRDefault="00266D65" w:rsidP="00FA41A9">
      <w:pPr>
        <w:pStyle w:val="ListParagraph"/>
        <w:numPr>
          <w:ilvl w:val="0"/>
          <w:numId w:val="2"/>
        </w:numPr>
      </w:pPr>
      <w:hyperlink r:id="rId18">
        <w:r w:rsidRPr="00FA41A9">
          <w:rPr>
            <w:color w:val="1155CC"/>
            <w:u w:val="single"/>
          </w:rPr>
          <w:t>Housing as a social determinant of health and wellbeing: developing an empirically-informed realist framework (2020)</w:t>
        </w:r>
      </w:hyperlink>
    </w:p>
    <w:p w14:paraId="7F1FD5AC" w14:textId="77777777" w:rsidR="00266D65" w:rsidRDefault="00266D65" w:rsidP="00FA41A9">
      <w:pPr>
        <w:pStyle w:val="ListParagraph"/>
        <w:numPr>
          <w:ilvl w:val="0"/>
          <w:numId w:val="2"/>
        </w:numPr>
      </w:pPr>
      <w:hyperlink r:id="rId19">
        <w:r w:rsidRPr="00FA41A9">
          <w:rPr>
            <w:color w:val="1155CC"/>
            <w:u w:val="single"/>
          </w:rPr>
          <w:t>Housing as a determinant of health equity: a conceptual model (2019)</w:t>
        </w:r>
      </w:hyperlink>
    </w:p>
    <w:p w14:paraId="7F1FD5AD" w14:textId="77777777" w:rsidR="00266D65" w:rsidRDefault="00266D65" w:rsidP="00FA41A9">
      <w:pPr>
        <w:pStyle w:val="ListParagraph"/>
        <w:numPr>
          <w:ilvl w:val="0"/>
          <w:numId w:val="2"/>
        </w:numPr>
      </w:pPr>
      <w:hyperlink r:id="rId20">
        <w:r w:rsidRPr="00FA41A9">
          <w:rPr>
            <w:color w:val="1155CC"/>
            <w:u w:val="single"/>
          </w:rPr>
          <w:t>Housing and health inequalities: a synthesis of reviews of interventions aimed at different pathways linking housing and health (2011)</w:t>
        </w:r>
      </w:hyperlink>
    </w:p>
    <w:p w14:paraId="7F1FD5AE" w14:textId="77777777" w:rsidR="00266D65" w:rsidRDefault="00266D65" w:rsidP="00FA41A9">
      <w:pPr>
        <w:pStyle w:val="ListParagraph"/>
        <w:numPr>
          <w:ilvl w:val="0"/>
          <w:numId w:val="2"/>
        </w:numPr>
      </w:pPr>
      <w:hyperlink r:id="rId21">
        <w:r w:rsidRPr="00FA41A9">
          <w:rPr>
            <w:color w:val="1155CC"/>
            <w:u w:val="single"/>
          </w:rPr>
          <w:t>Developing empirically supported theories of change for housing investment and healt</w:t>
        </w:r>
      </w:hyperlink>
      <w:r>
        <w:t>h (2015)</w:t>
      </w:r>
    </w:p>
    <w:p w14:paraId="7F1FD5AF" w14:textId="77777777" w:rsidR="00266D65" w:rsidRDefault="00266D65" w:rsidP="00FA41A9">
      <w:pPr>
        <w:pStyle w:val="ListParagraph"/>
        <w:numPr>
          <w:ilvl w:val="0"/>
          <w:numId w:val="2"/>
        </w:numPr>
      </w:pPr>
      <w:hyperlink r:id="rId22">
        <w:r w:rsidRPr="00FA41A9">
          <w:rPr>
            <w:color w:val="1155CC"/>
            <w:u w:val="single"/>
          </w:rPr>
          <w:t>Housing disadvantage and poor mental health: a systematic review</w:t>
        </w:r>
      </w:hyperlink>
      <w:r>
        <w:t xml:space="preserve"> (2019)</w:t>
      </w:r>
    </w:p>
    <w:p w14:paraId="7F1FD5B0" w14:textId="77777777" w:rsidR="00266D65" w:rsidRDefault="00266D65" w:rsidP="00FA41A9">
      <w:pPr>
        <w:pStyle w:val="ListParagraph"/>
        <w:numPr>
          <w:ilvl w:val="0"/>
          <w:numId w:val="2"/>
        </w:numPr>
      </w:pPr>
      <w:hyperlink r:id="rId23">
        <w:r w:rsidRPr="00FA41A9">
          <w:rPr>
            <w:color w:val="1155CC"/>
            <w:u w:val="single"/>
          </w:rPr>
          <w:t>The relationship between buildings and health: a systematic review</w:t>
        </w:r>
      </w:hyperlink>
      <w:r>
        <w:t xml:space="preserve"> (2019)</w:t>
      </w:r>
    </w:p>
    <w:p w14:paraId="7F1FD5B1" w14:textId="77777777" w:rsidR="00266D65" w:rsidRDefault="00266D65" w:rsidP="00FA41A9">
      <w:pPr>
        <w:pStyle w:val="ListParagraph"/>
        <w:numPr>
          <w:ilvl w:val="0"/>
          <w:numId w:val="2"/>
        </w:numPr>
      </w:pPr>
      <w:hyperlink r:id="rId24">
        <w:r w:rsidRPr="00FA41A9">
          <w:rPr>
            <w:color w:val="1155CC"/>
            <w:u w:val="single"/>
          </w:rPr>
          <w:t>Housing improvements for health and associated socio-economic outcomes</w:t>
        </w:r>
      </w:hyperlink>
      <w:r>
        <w:t xml:space="preserve"> (2013)</w:t>
      </w:r>
    </w:p>
    <w:p w14:paraId="7F1FD5B2" w14:textId="77777777" w:rsidR="00266D65" w:rsidRDefault="00266D65" w:rsidP="00FA41A9">
      <w:pPr>
        <w:pStyle w:val="ListParagraph"/>
        <w:numPr>
          <w:ilvl w:val="0"/>
          <w:numId w:val="2"/>
        </w:numPr>
      </w:pPr>
      <w:hyperlink r:id="rId25">
        <w:r w:rsidRPr="00FA41A9">
          <w:rPr>
            <w:color w:val="1155CC"/>
            <w:u w:val="single"/>
          </w:rPr>
          <w:t>Housing and health: an overview (2020)</w:t>
        </w:r>
      </w:hyperlink>
    </w:p>
    <w:p w14:paraId="7F1FD5B3" w14:textId="77777777" w:rsidR="00266D65" w:rsidRDefault="00266D65" w:rsidP="00FA41A9">
      <w:r>
        <w:t>Research evidence from the UK Collaborative Centre for Housing Evidence:</w:t>
      </w:r>
    </w:p>
    <w:p w14:paraId="7F1FD5B4" w14:textId="77777777" w:rsidR="00266D65" w:rsidRDefault="00266D65" w:rsidP="00FA41A9">
      <w:pPr>
        <w:pStyle w:val="ListParagraph"/>
        <w:numPr>
          <w:ilvl w:val="0"/>
          <w:numId w:val="3"/>
        </w:numPr>
      </w:pPr>
      <w:hyperlink r:id="rId26">
        <w:r w:rsidRPr="00FA41A9">
          <w:rPr>
            <w:color w:val="1155CC"/>
            <w:u w:val="single"/>
          </w:rPr>
          <w:t>Understanding landlord behaviour in the private rented sector in the UK (2022)</w:t>
        </w:r>
      </w:hyperlink>
    </w:p>
    <w:p w14:paraId="7F1FD5B5" w14:textId="77777777" w:rsidR="00266D65" w:rsidRDefault="00266D65" w:rsidP="00FA41A9">
      <w:pPr>
        <w:pStyle w:val="ListParagraph"/>
        <w:numPr>
          <w:ilvl w:val="0"/>
          <w:numId w:val="3"/>
        </w:numPr>
      </w:pPr>
      <w:hyperlink r:id="rId27">
        <w:r w:rsidRPr="00FA41A9">
          <w:rPr>
            <w:color w:val="1155CC"/>
            <w:u w:val="single"/>
          </w:rPr>
          <w:t>Living in Scotland’s private rented sector (2022)</w:t>
        </w:r>
      </w:hyperlink>
    </w:p>
    <w:p w14:paraId="7F1FD5B6" w14:textId="77777777" w:rsidR="00266D65" w:rsidRDefault="00266D65" w:rsidP="00FA41A9">
      <w:pPr>
        <w:pStyle w:val="ListParagraph"/>
        <w:numPr>
          <w:ilvl w:val="0"/>
          <w:numId w:val="3"/>
        </w:numPr>
      </w:pPr>
      <w:hyperlink r:id="rId28">
        <w:r w:rsidRPr="00FA41A9">
          <w:rPr>
            <w:color w:val="1155CC"/>
            <w:u w:val="single"/>
          </w:rPr>
          <w:t>Housing challenges faced by low-income and other vulnerable privately renting households (2022)</w:t>
        </w:r>
      </w:hyperlink>
    </w:p>
    <w:p w14:paraId="7F1FD5B7" w14:textId="77777777" w:rsidR="00266D65" w:rsidRDefault="00266D65" w:rsidP="00FA41A9">
      <w:pPr>
        <w:pStyle w:val="ListParagraph"/>
        <w:numPr>
          <w:ilvl w:val="0"/>
          <w:numId w:val="3"/>
        </w:numPr>
      </w:pPr>
      <w:hyperlink r:id="rId29">
        <w:r w:rsidRPr="00FA41A9">
          <w:rPr>
            <w:color w:val="1155CC"/>
            <w:u w:val="single"/>
          </w:rPr>
          <w:t>Health and wellbeing in the UK private rented sector: enhancing capabilities (2021)</w:t>
        </w:r>
      </w:hyperlink>
    </w:p>
    <w:p w14:paraId="371CCEB7" w14:textId="77777777" w:rsidR="00FA41A9" w:rsidRPr="00FA41A9" w:rsidRDefault="00266D65" w:rsidP="00FA41A9">
      <w:pPr>
        <w:pStyle w:val="ListParagraph"/>
        <w:numPr>
          <w:ilvl w:val="0"/>
          <w:numId w:val="3"/>
        </w:numPr>
        <w:rPr>
          <w:color w:val="1155CC"/>
          <w:u w:val="single"/>
        </w:rPr>
      </w:pPr>
      <w:hyperlink r:id="rId30">
        <w:r w:rsidRPr="00FA41A9">
          <w:rPr>
            <w:color w:val="1155CC"/>
            <w:u w:val="single"/>
          </w:rPr>
          <w:t>Housing policy and poor quality homes (2021)</w:t>
        </w:r>
      </w:hyperlink>
    </w:p>
    <w:p w14:paraId="2B3790FA" w14:textId="77777777" w:rsidR="00FA41A9" w:rsidRDefault="00FA41A9" w:rsidP="005B70EC">
      <w:pPr>
        <w:rPr>
          <w:color w:val="1155CC"/>
          <w:u w:val="single"/>
        </w:rPr>
      </w:pPr>
    </w:p>
    <w:p w14:paraId="0DC18C5B" w14:textId="77777777" w:rsidR="00FA41A9" w:rsidRDefault="00FA41A9" w:rsidP="00FA41A9">
      <w:pPr>
        <w:pStyle w:val="Heading3"/>
        <w:rPr>
          <w:rFonts w:eastAsia="Calibri"/>
        </w:rPr>
      </w:pPr>
      <w:r>
        <w:t>References</w:t>
      </w:r>
    </w:p>
    <w:p w14:paraId="2EBAC251" w14:textId="77777777" w:rsidR="00FA41A9" w:rsidRDefault="00FA41A9" w:rsidP="005B70EC">
      <w:pPr>
        <w:rPr>
          <w:color w:val="1155CC"/>
          <w:u w:val="single"/>
        </w:rPr>
        <w:sectPr w:rsidR="00FA41A9" w:rsidSect="00BC0291">
          <w:footnotePr>
            <w:pos w:val="beneathText"/>
          </w:footnotePr>
          <w:endnotePr>
            <w:numFmt w:val="decimal"/>
          </w:endnotePr>
          <w:type w:val="continuous"/>
          <w:pgSz w:w="11906" w:h="16838" w:code="9"/>
          <w:pgMar w:top="1440" w:right="1440" w:bottom="1440" w:left="1440" w:header="1418" w:footer="1418" w:gutter="0"/>
          <w:pgNumType w:start="0"/>
          <w:cols w:space="720"/>
          <w:titlePg/>
          <w:docGrid w:linePitch="326"/>
        </w:sectPr>
      </w:pPr>
    </w:p>
    <w:p w14:paraId="7F1FD5B8" w14:textId="77777777" w:rsidR="00266D65" w:rsidRDefault="00266D65" w:rsidP="005B70EC">
      <w:pPr>
        <w:rPr>
          <w:b/>
        </w:rPr>
      </w:pPr>
      <w:r>
        <w:br w:type="page"/>
      </w:r>
    </w:p>
    <w:p w14:paraId="7F1FD5B9" w14:textId="77777777" w:rsidR="00266D65" w:rsidRDefault="00266D65" w:rsidP="00FA41A9">
      <w:pPr>
        <w:pStyle w:val="Heading2"/>
        <w:rPr>
          <w:rFonts w:eastAsia="Calibri"/>
        </w:rPr>
      </w:pPr>
      <w:r>
        <w:rPr>
          <w:rFonts w:eastAsia="Calibri"/>
        </w:rPr>
        <w:lastRenderedPageBreak/>
        <w:t>Energy efficiency</w:t>
      </w:r>
    </w:p>
    <w:p w14:paraId="4222D13B" w14:textId="77777777" w:rsidR="00147EB7" w:rsidRDefault="00147EB7" w:rsidP="005B70EC"/>
    <w:p w14:paraId="7F1FD5BA" w14:textId="4D188E95" w:rsidR="00266D65" w:rsidRDefault="00266D65" w:rsidP="005B70EC">
      <w:r>
        <w:t>The energy efficiency of the home has a range of impacts on both physical and mental health outcomes.</w:t>
      </w:r>
    </w:p>
    <w:p w14:paraId="7F1FD5BB" w14:textId="77777777" w:rsidR="00266D65" w:rsidRDefault="00266D65" w:rsidP="005B70EC">
      <w:r>
        <w:t>Poor energy efficiency means that housing is hard and expensive to heat</w:t>
      </w:r>
      <w:r>
        <w:rPr>
          <w:vertAlign w:val="superscript"/>
        </w:rPr>
        <w:endnoteReference w:id="21"/>
      </w:r>
      <w:r>
        <w:t>. Properties that are not very energy efficient are also often poorly ventilated, as residents keep windows, doors and vents closed in an attempt to retain as much heat as possible</w:t>
      </w:r>
      <w:r>
        <w:rPr>
          <w:vertAlign w:val="superscript"/>
        </w:rPr>
        <w:endnoteReference w:id="22"/>
      </w:r>
      <w:r>
        <w:t>. Together, cold and moist air create damp and mould</w:t>
      </w:r>
      <w:r>
        <w:rPr>
          <w:vertAlign w:val="superscript"/>
        </w:rPr>
        <w:endnoteReference w:id="23"/>
      </w:r>
      <w:r>
        <w:t>, which can be made worse by other hazards, such as leaky roofs and windows. Cold, damp and mould have direct impacts on respiratory health and can trigger a range of long-term limiting illnesses</w:t>
      </w:r>
      <w:r>
        <w:rPr>
          <w:vertAlign w:val="superscript"/>
        </w:rPr>
        <w:endnoteReference w:id="24"/>
      </w:r>
      <w:r>
        <w:t xml:space="preserve">. </w:t>
      </w:r>
    </w:p>
    <w:p w14:paraId="7F1FD5BC" w14:textId="77777777" w:rsidR="00266D65" w:rsidRDefault="00266D65" w:rsidP="005B70EC">
      <w:r>
        <w:t>The cost of energy is a crucial factor in determining whether a property’s energy efficiency will successfully translate into a warm home. High energy costs can still result in cold homes, even if the property is relatively energy efficient, as well as having an impact on resident’s ability to prepare hot food</w:t>
      </w:r>
      <w:r>
        <w:rPr>
          <w:vertAlign w:val="superscript"/>
        </w:rPr>
        <w:endnoteReference w:id="25"/>
      </w:r>
      <w:r>
        <w:t xml:space="preserve">. </w:t>
      </w:r>
    </w:p>
    <w:p w14:paraId="7F1FD5BD" w14:textId="77777777" w:rsidR="00266D65" w:rsidRDefault="00266D65" w:rsidP="005B70EC">
      <w:r>
        <w:t>High energy costs cause financial stress and may result in growing household debt, which impact negatively on mental health</w:t>
      </w:r>
      <w:r>
        <w:rPr>
          <w:vertAlign w:val="superscript"/>
        </w:rPr>
        <w:endnoteReference w:id="26"/>
      </w:r>
      <w:r>
        <w:t>. This can happen even when the home is not being kept at a comfortable temperature, meaning that residents can suffer the twin impacts of a cold damp home and financial stress caused by energy costs, especially when their home is not energy efficient.</w:t>
      </w:r>
    </w:p>
    <w:p w14:paraId="7F1FD5BE" w14:textId="77777777" w:rsidR="00266D65" w:rsidRDefault="00266D65" w:rsidP="005B70EC">
      <w:r>
        <w:t>Difficulties in heating home, as well as the risk and damage caused by damp and mould, can also reduce the usable space within a property, leading to overcrowding</w:t>
      </w:r>
      <w:r>
        <w:rPr>
          <w:vertAlign w:val="superscript"/>
        </w:rPr>
        <w:endnoteReference w:id="27"/>
      </w:r>
      <w:r>
        <w:t>. This, alongside the threat to physical health posed by cold, damp and mould, generates negative impacts on mental health and wellbeing</w:t>
      </w:r>
      <w:r>
        <w:rPr>
          <w:vertAlign w:val="superscript"/>
        </w:rPr>
        <w:endnoteReference w:id="28"/>
      </w:r>
      <w:r>
        <w:t>. Overcrowding can also undermine relationships between householders and generate chronic stress</w:t>
      </w:r>
      <w:r>
        <w:rPr>
          <w:vertAlign w:val="superscript"/>
        </w:rPr>
        <w:endnoteReference w:id="29"/>
      </w:r>
      <w:r>
        <w:t>.</w:t>
      </w:r>
    </w:p>
    <w:p w14:paraId="7F1FD5BF" w14:textId="77777777" w:rsidR="00266D65" w:rsidRDefault="00266D65" w:rsidP="005B70EC"/>
    <w:p w14:paraId="7F1FD5C0" w14:textId="77777777" w:rsidR="00266D65" w:rsidRDefault="00266D65" w:rsidP="005B70EC">
      <w:pPr>
        <w:rPr>
          <w:b/>
        </w:rPr>
      </w:pPr>
    </w:p>
    <w:p w14:paraId="7F1FD5C1" w14:textId="68216F82" w:rsidR="00266D65" w:rsidRDefault="00266D65" w:rsidP="00C2031F">
      <w:pPr>
        <w:pStyle w:val="Heading3"/>
        <w:rPr>
          <w:rFonts w:eastAsia="Calibri"/>
        </w:rPr>
      </w:pPr>
      <w:r>
        <w:rPr>
          <w:rFonts w:eastAsia="Calibri"/>
        </w:rPr>
        <w:t>Further reading</w:t>
      </w:r>
    </w:p>
    <w:p w14:paraId="7F1FD5C2" w14:textId="77777777" w:rsidR="00266D65" w:rsidRPr="00C2031F" w:rsidRDefault="00266D65" w:rsidP="005B70EC">
      <w:r w:rsidRPr="00C2031F">
        <w:t>Academic evidence based on quantitative research:</w:t>
      </w:r>
    </w:p>
    <w:p w14:paraId="7F1FD5C3" w14:textId="77777777" w:rsidR="00266D65" w:rsidRDefault="00266D65" w:rsidP="00C2031F">
      <w:pPr>
        <w:pStyle w:val="ListParagraph"/>
        <w:numPr>
          <w:ilvl w:val="0"/>
          <w:numId w:val="5"/>
        </w:numPr>
      </w:pPr>
      <w:hyperlink r:id="rId31">
        <w:r w:rsidRPr="00C2031F">
          <w:rPr>
            <w:color w:val="1155CC"/>
            <w:u w:val="single"/>
          </w:rPr>
          <w:t>Developing empirically supported theories of change for housing investment and healt</w:t>
        </w:r>
      </w:hyperlink>
      <w:r>
        <w:t>h (2015)</w:t>
      </w:r>
    </w:p>
    <w:p w14:paraId="7F1FD5C4" w14:textId="77777777" w:rsidR="00266D65" w:rsidRDefault="00266D65" w:rsidP="00C2031F">
      <w:pPr>
        <w:pStyle w:val="ListParagraph"/>
        <w:numPr>
          <w:ilvl w:val="0"/>
          <w:numId w:val="5"/>
        </w:numPr>
      </w:pPr>
      <w:hyperlink r:id="rId32">
        <w:r w:rsidRPr="00C2031F">
          <w:rPr>
            <w:color w:val="1155CC"/>
            <w:u w:val="single"/>
          </w:rPr>
          <w:t>The relationship between buildings and health: a systematic review</w:t>
        </w:r>
      </w:hyperlink>
      <w:r>
        <w:t xml:space="preserve"> (2019)</w:t>
      </w:r>
    </w:p>
    <w:p w14:paraId="7F1FD5C5" w14:textId="77777777" w:rsidR="00266D65" w:rsidRDefault="00266D65" w:rsidP="00C2031F">
      <w:pPr>
        <w:pStyle w:val="ListParagraph"/>
        <w:numPr>
          <w:ilvl w:val="0"/>
          <w:numId w:val="5"/>
        </w:numPr>
      </w:pPr>
      <w:hyperlink r:id="rId33">
        <w:r w:rsidRPr="00C2031F">
          <w:rPr>
            <w:color w:val="1155CC"/>
            <w:u w:val="single"/>
          </w:rPr>
          <w:t>Housing as a determinant of health equity: a conceptual model (2019)</w:t>
        </w:r>
      </w:hyperlink>
    </w:p>
    <w:p w14:paraId="7F1FD5C6" w14:textId="77777777" w:rsidR="00266D65" w:rsidRDefault="00266D65" w:rsidP="00C2031F">
      <w:pPr>
        <w:pStyle w:val="ListParagraph"/>
        <w:numPr>
          <w:ilvl w:val="0"/>
          <w:numId w:val="5"/>
        </w:numPr>
      </w:pPr>
      <w:hyperlink r:id="rId34">
        <w:r w:rsidRPr="00C2031F">
          <w:rPr>
            <w:color w:val="1155CC"/>
            <w:u w:val="single"/>
          </w:rPr>
          <w:t>Housing as a social determinant of health and wellbeing: developing an empirically-informed realist framework (2020)</w:t>
        </w:r>
      </w:hyperlink>
    </w:p>
    <w:p w14:paraId="7F1FD5C7" w14:textId="77777777" w:rsidR="00266D65" w:rsidRDefault="00266D65" w:rsidP="00C2031F">
      <w:pPr>
        <w:pStyle w:val="ListParagraph"/>
        <w:numPr>
          <w:ilvl w:val="0"/>
          <w:numId w:val="5"/>
        </w:numPr>
      </w:pPr>
      <w:hyperlink r:id="rId35">
        <w:r w:rsidRPr="00C2031F">
          <w:rPr>
            <w:color w:val="1155CC"/>
            <w:u w:val="single"/>
          </w:rPr>
          <w:t>Housing disadvantage and poor mental health: a systematic review</w:t>
        </w:r>
      </w:hyperlink>
      <w:r>
        <w:t xml:space="preserve"> (2019)</w:t>
      </w:r>
    </w:p>
    <w:p w14:paraId="7F1FD5C8" w14:textId="77777777" w:rsidR="00266D65" w:rsidRDefault="00266D65" w:rsidP="00C2031F">
      <w:pPr>
        <w:pStyle w:val="ListParagraph"/>
        <w:numPr>
          <w:ilvl w:val="0"/>
          <w:numId w:val="5"/>
        </w:numPr>
      </w:pPr>
      <w:hyperlink r:id="rId36">
        <w:r w:rsidRPr="00C2031F">
          <w:rPr>
            <w:color w:val="1155CC"/>
            <w:u w:val="single"/>
          </w:rPr>
          <w:t>Housing and health inequalities: a synthesis of reviews of interventions aimed at different pathways linking housing and health (2011)</w:t>
        </w:r>
      </w:hyperlink>
    </w:p>
    <w:p w14:paraId="7F1FD5C9" w14:textId="77777777" w:rsidR="00266D65" w:rsidRDefault="00266D65" w:rsidP="00C2031F">
      <w:pPr>
        <w:pStyle w:val="ListParagraph"/>
        <w:numPr>
          <w:ilvl w:val="0"/>
          <w:numId w:val="5"/>
        </w:numPr>
      </w:pPr>
      <w:hyperlink r:id="rId37">
        <w:r w:rsidRPr="00C2031F">
          <w:rPr>
            <w:color w:val="1155CC"/>
            <w:u w:val="single"/>
          </w:rPr>
          <w:t>Housing and health: an overview (2020)</w:t>
        </w:r>
      </w:hyperlink>
    </w:p>
    <w:p w14:paraId="7F1FD5CA" w14:textId="77777777" w:rsidR="00266D65" w:rsidRPr="00C2031F" w:rsidRDefault="00266D65" w:rsidP="005B70EC">
      <w:r w:rsidRPr="00C2031F">
        <w:t>Research evidence from the UK Collaborative Centre for Housing Evidence:</w:t>
      </w:r>
    </w:p>
    <w:p w14:paraId="7F1FD5CB" w14:textId="77777777" w:rsidR="00266D65" w:rsidRPr="00C2031F" w:rsidRDefault="00266D65" w:rsidP="00C2031F">
      <w:pPr>
        <w:pStyle w:val="ListParagraph"/>
        <w:numPr>
          <w:ilvl w:val="0"/>
          <w:numId w:val="4"/>
        </w:numPr>
        <w:rPr>
          <w:u w:val="single"/>
        </w:rPr>
      </w:pPr>
      <w:hyperlink r:id="rId38">
        <w:r w:rsidRPr="00C2031F">
          <w:rPr>
            <w:color w:val="1155CC"/>
            <w:u w:val="single"/>
          </w:rPr>
          <w:t>Niddrie Road, Glasgow: tenement retrofit evaluation</w:t>
        </w:r>
      </w:hyperlink>
    </w:p>
    <w:p w14:paraId="7F1FD5CC" w14:textId="77777777" w:rsidR="00266D65" w:rsidRPr="00C2031F" w:rsidRDefault="00266D65" w:rsidP="00C2031F">
      <w:pPr>
        <w:pStyle w:val="ListParagraph"/>
        <w:numPr>
          <w:ilvl w:val="0"/>
          <w:numId w:val="4"/>
        </w:numPr>
        <w:rPr>
          <w:u w:val="single"/>
        </w:rPr>
      </w:pPr>
      <w:hyperlink r:id="rId39">
        <w:r w:rsidRPr="00C2031F">
          <w:rPr>
            <w:color w:val="1155CC"/>
            <w:u w:val="single"/>
          </w:rPr>
          <w:t>Reviewing residential retrofitting literature</w:t>
        </w:r>
      </w:hyperlink>
    </w:p>
    <w:p w14:paraId="4FA09D3B" w14:textId="77777777" w:rsidR="00FA41A9" w:rsidRPr="00C2031F" w:rsidRDefault="00266D65" w:rsidP="00C2031F">
      <w:pPr>
        <w:pStyle w:val="ListParagraph"/>
        <w:numPr>
          <w:ilvl w:val="0"/>
          <w:numId w:val="4"/>
        </w:numPr>
        <w:rPr>
          <w:color w:val="1155CC"/>
          <w:u w:val="single"/>
        </w:rPr>
      </w:pPr>
      <w:hyperlink r:id="rId40">
        <w:r w:rsidRPr="00C2031F">
          <w:rPr>
            <w:color w:val="1155CC"/>
            <w:u w:val="single"/>
          </w:rPr>
          <w:t>How to combine action on housing retrofit with tackling health inequalities (and other injustices) (2022)</w:t>
        </w:r>
      </w:hyperlink>
    </w:p>
    <w:p w14:paraId="3B94010F" w14:textId="77777777" w:rsidR="009C3622" w:rsidRDefault="009C3622" w:rsidP="005B70EC">
      <w:pPr>
        <w:rPr>
          <w:color w:val="1155CC"/>
          <w:u w:val="single"/>
        </w:rPr>
      </w:pPr>
    </w:p>
    <w:p w14:paraId="37F962BC" w14:textId="77777777" w:rsidR="009C3622" w:rsidRDefault="009C3622" w:rsidP="009C3622">
      <w:pPr>
        <w:pStyle w:val="Heading3"/>
        <w:sectPr w:rsidR="009C3622" w:rsidSect="00BC0291">
          <w:footnotePr>
            <w:pos w:val="beneathText"/>
          </w:footnotePr>
          <w:endnotePr>
            <w:numFmt w:val="decimal"/>
          </w:endnotePr>
          <w:type w:val="continuous"/>
          <w:pgSz w:w="11906" w:h="16838" w:code="9"/>
          <w:pgMar w:top="1440" w:right="1440" w:bottom="1440" w:left="1440" w:header="1418" w:footer="1418" w:gutter="0"/>
          <w:pgNumType w:start="0"/>
          <w:cols w:space="720"/>
          <w:titlePg/>
          <w:docGrid w:linePitch="326"/>
        </w:sectPr>
      </w:pPr>
      <w:r>
        <w:t>References</w:t>
      </w:r>
    </w:p>
    <w:p w14:paraId="00E5C9D6" w14:textId="77777777" w:rsidR="009C3622" w:rsidRDefault="009C3622" w:rsidP="009C3622">
      <w:pPr>
        <w:pStyle w:val="Heading3"/>
        <w:rPr>
          <w:rFonts w:eastAsia="Calibri"/>
        </w:rPr>
      </w:pPr>
    </w:p>
    <w:p w14:paraId="7F1FD5CD" w14:textId="53A3D7F4" w:rsidR="00266D65" w:rsidRDefault="00266D65" w:rsidP="005B70EC">
      <w:pPr>
        <w:rPr>
          <w:b/>
        </w:rPr>
      </w:pPr>
      <w:r>
        <w:br w:type="page"/>
      </w:r>
    </w:p>
    <w:p w14:paraId="7F1FD5CE" w14:textId="77777777" w:rsidR="00266D65" w:rsidRDefault="00266D65" w:rsidP="00C2031F">
      <w:pPr>
        <w:pStyle w:val="Heading2"/>
        <w:rPr>
          <w:rFonts w:eastAsia="Calibri"/>
        </w:rPr>
      </w:pPr>
      <w:r>
        <w:rPr>
          <w:rFonts w:eastAsia="Calibri"/>
        </w:rPr>
        <w:lastRenderedPageBreak/>
        <w:t>Choice and power</w:t>
      </w:r>
    </w:p>
    <w:p w14:paraId="7D3A33A4" w14:textId="77777777" w:rsidR="008F2DDA" w:rsidRDefault="008F2DDA" w:rsidP="005B70EC"/>
    <w:p w14:paraId="7F1FD5CF" w14:textId="3EEBF59C" w:rsidR="00266D65" w:rsidRDefault="00266D65" w:rsidP="005B70EC">
      <w:r>
        <w:t>Housing affordability influences how much choice a household has in selecting a property to live in. These choices are especially limited for those on lower incomes, whose options are determined by a combination of the availability of social housing, market-led housing costs, housing-related benefits and ability to work. This can result in a limited set of housing options that are poor quality, unsuitable for members of the household, unaffordable, or a combination of all three of these</w:t>
      </w:r>
      <w:r>
        <w:rPr>
          <w:vertAlign w:val="superscript"/>
        </w:rPr>
        <w:endnoteReference w:id="30"/>
      </w:r>
      <w:r>
        <w:t>.</w:t>
      </w:r>
    </w:p>
    <w:p w14:paraId="7F1FD5D0" w14:textId="77777777" w:rsidR="00266D65" w:rsidRDefault="00266D65" w:rsidP="005B70EC">
      <w:r>
        <w:t>The challenges this creates in everyday life can prevent people from feeling as though their home is as a secure base, in which they feel belonging and over which they feel a sense of ownership</w:t>
      </w:r>
      <w:r>
        <w:rPr>
          <w:vertAlign w:val="superscript"/>
        </w:rPr>
        <w:endnoteReference w:id="31"/>
      </w:r>
      <w:r>
        <w:t>. Successfully establishing a sense of home can support people to cope with chronic stress from other (non-housing) sources and protect mental health. It can also support the development of local friendships and support networks</w:t>
      </w:r>
      <w:r>
        <w:rPr>
          <w:vertAlign w:val="superscript"/>
        </w:rPr>
        <w:endnoteReference w:id="32"/>
      </w:r>
      <w:r>
        <w:t xml:space="preserve">, which can help to combat loneliness and provide wider support.  </w:t>
      </w:r>
    </w:p>
    <w:p w14:paraId="7F1FD5D1" w14:textId="77777777" w:rsidR="00266D65" w:rsidRDefault="00266D65" w:rsidP="005B70EC">
      <w:r>
        <w:t>A lack of choice in housing also generates feelings of powerlessness and precarity, which is the sense that the home could be taken away quickly, without a reason and without any means to prevent this from happening. This can impact on mental health through chronic stress</w:t>
      </w:r>
      <w:r>
        <w:rPr>
          <w:vertAlign w:val="superscript"/>
        </w:rPr>
        <w:endnoteReference w:id="33"/>
      </w:r>
      <w:r>
        <w:t>, even where the threat of homelessness is perceived, rather than being real (for example, having received an eviction notice). Feelings of powerlessness can be reinforced or undermined by the legal protections given to tenants and homeowners, as well as the market-wide affordability and quality of housing.</w:t>
      </w:r>
    </w:p>
    <w:p w14:paraId="7F1FD5D2" w14:textId="77777777" w:rsidR="00266D65" w:rsidRDefault="00266D65" w:rsidP="005B70EC"/>
    <w:p w14:paraId="61588F48" w14:textId="77777777" w:rsidR="008F2DDA" w:rsidRDefault="008F2DDA" w:rsidP="005B70EC"/>
    <w:p w14:paraId="7F1FD5D3" w14:textId="65BFB746" w:rsidR="00266D65" w:rsidRDefault="00266D65" w:rsidP="00C2031F">
      <w:pPr>
        <w:pStyle w:val="Heading3"/>
        <w:rPr>
          <w:rFonts w:eastAsia="Calibri"/>
        </w:rPr>
      </w:pPr>
      <w:r>
        <w:rPr>
          <w:rFonts w:eastAsia="Calibri"/>
        </w:rPr>
        <w:t>Further reading</w:t>
      </w:r>
    </w:p>
    <w:p w14:paraId="7F1FD5D4" w14:textId="77777777" w:rsidR="00266D65" w:rsidRPr="00C2031F" w:rsidRDefault="00266D65" w:rsidP="005B70EC">
      <w:r w:rsidRPr="00C2031F">
        <w:t>Academic evidence based on quantitative research:</w:t>
      </w:r>
    </w:p>
    <w:p w14:paraId="7F1FD5D5" w14:textId="77777777" w:rsidR="00266D65" w:rsidRPr="00C2031F" w:rsidRDefault="00266D65" w:rsidP="00C2031F">
      <w:pPr>
        <w:pStyle w:val="ListParagraph"/>
        <w:numPr>
          <w:ilvl w:val="0"/>
          <w:numId w:val="6"/>
        </w:numPr>
        <w:rPr>
          <w:u w:val="single"/>
        </w:rPr>
      </w:pPr>
      <w:hyperlink r:id="rId41">
        <w:r w:rsidRPr="00C2031F">
          <w:rPr>
            <w:color w:val="1155CC"/>
            <w:u w:val="single"/>
          </w:rPr>
          <w:t>Housing as a determinant of health equity: a conceptual model (2019)</w:t>
        </w:r>
      </w:hyperlink>
    </w:p>
    <w:p w14:paraId="7F1FD5D6" w14:textId="77777777" w:rsidR="00266D65" w:rsidRPr="00C2031F" w:rsidRDefault="00266D65" w:rsidP="00C2031F">
      <w:pPr>
        <w:pStyle w:val="ListParagraph"/>
        <w:numPr>
          <w:ilvl w:val="0"/>
          <w:numId w:val="6"/>
        </w:numPr>
        <w:rPr>
          <w:u w:val="single"/>
        </w:rPr>
      </w:pPr>
      <w:hyperlink r:id="rId42">
        <w:r w:rsidRPr="00C2031F">
          <w:rPr>
            <w:color w:val="1155CC"/>
            <w:u w:val="single"/>
          </w:rPr>
          <w:t>Housing as a social determinant of health and wellbeing: developing an empirically-informed realist framework (2020)</w:t>
        </w:r>
      </w:hyperlink>
    </w:p>
    <w:p w14:paraId="7F1FD5D7" w14:textId="77777777" w:rsidR="00266D65" w:rsidRDefault="00266D65" w:rsidP="00C2031F">
      <w:pPr>
        <w:pStyle w:val="ListParagraph"/>
        <w:numPr>
          <w:ilvl w:val="0"/>
          <w:numId w:val="6"/>
        </w:numPr>
      </w:pPr>
      <w:hyperlink r:id="rId43">
        <w:r w:rsidRPr="00C2031F">
          <w:rPr>
            <w:color w:val="1155CC"/>
            <w:u w:val="single"/>
          </w:rPr>
          <w:t>Developing empirically supported theories of change for housing investment and healt</w:t>
        </w:r>
      </w:hyperlink>
      <w:r>
        <w:t>h (2015)</w:t>
      </w:r>
    </w:p>
    <w:p w14:paraId="7F1FD5D8" w14:textId="77777777" w:rsidR="00266D65" w:rsidRPr="00C2031F" w:rsidRDefault="00266D65" w:rsidP="005B70EC">
      <w:r w:rsidRPr="00C2031F">
        <w:t>Research evidence from the UK Collaborative Centre for Housing Evidence:</w:t>
      </w:r>
    </w:p>
    <w:p w14:paraId="7F1FD5D9" w14:textId="77777777" w:rsidR="00266D65" w:rsidRPr="00C2031F" w:rsidRDefault="00266D65" w:rsidP="00C2031F">
      <w:pPr>
        <w:pStyle w:val="ListParagraph"/>
        <w:numPr>
          <w:ilvl w:val="0"/>
          <w:numId w:val="7"/>
        </w:numPr>
        <w:rPr>
          <w:u w:val="single"/>
        </w:rPr>
      </w:pPr>
      <w:hyperlink r:id="rId44">
        <w:r w:rsidRPr="00C2031F">
          <w:rPr>
            <w:color w:val="1155CC"/>
            <w:u w:val="single"/>
          </w:rPr>
          <w:t>Understanding landlord behaviour in the private rented sector in the UK (2022)</w:t>
        </w:r>
      </w:hyperlink>
    </w:p>
    <w:p w14:paraId="7F1FD5DA" w14:textId="77777777" w:rsidR="00266D65" w:rsidRPr="00C2031F" w:rsidRDefault="00266D65" w:rsidP="00C2031F">
      <w:pPr>
        <w:pStyle w:val="ListParagraph"/>
        <w:numPr>
          <w:ilvl w:val="0"/>
          <w:numId w:val="7"/>
        </w:numPr>
        <w:rPr>
          <w:u w:val="single"/>
        </w:rPr>
      </w:pPr>
      <w:hyperlink r:id="rId45">
        <w:r w:rsidRPr="00C2031F">
          <w:rPr>
            <w:color w:val="1155CC"/>
            <w:u w:val="single"/>
          </w:rPr>
          <w:t>Living in Scotland’s private rented sector (2022)</w:t>
        </w:r>
      </w:hyperlink>
    </w:p>
    <w:p w14:paraId="7F1FD5DB" w14:textId="77777777" w:rsidR="00266D65" w:rsidRPr="00C2031F" w:rsidRDefault="00266D65" w:rsidP="00C2031F">
      <w:pPr>
        <w:pStyle w:val="ListParagraph"/>
        <w:numPr>
          <w:ilvl w:val="0"/>
          <w:numId w:val="7"/>
        </w:numPr>
        <w:rPr>
          <w:u w:val="single"/>
        </w:rPr>
      </w:pPr>
      <w:hyperlink r:id="rId46">
        <w:r w:rsidRPr="00C2031F">
          <w:rPr>
            <w:color w:val="1155CC"/>
            <w:u w:val="single"/>
          </w:rPr>
          <w:t>Housing challenges faced by low-income and other vulnerable privately renting households (2022)</w:t>
        </w:r>
      </w:hyperlink>
    </w:p>
    <w:p w14:paraId="7F1FD5DC" w14:textId="77777777" w:rsidR="00266D65" w:rsidRPr="00C2031F" w:rsidRDefault="00266D65" w:rsidP="00C2031F">
      <w:pPr>
        <w:pStyle w:val="ListParagraph"/>
        <w:numPr>
          <w:ilvl w:val="0"/>
          <w:numId w:val="7"/>
        </w:numPr>
        <w:rPr>
          <w:u w:val="single"/>
        </w:rPr>
      </w:pPr>
      <w:hyperlink r:id="rId47">
        <w:r w:rsidRPr="00C2031F">
          <w:rPr>
            <w:color w:val="1155CC"/>
            <w:u w:val="single"/>
          </w:rPr>
          <w:t>Health and wellbeing in the UK private rented sector: enhancing capabilities (2021)</w:t>
        </w:r>
      </w:hyperlink>
    </w:p>
    <w:p w14:paraId="6D82A6FF" w14:textId="77777777" w:rsidR="00236418" w:rsidRDefault="00236418" w:rsidP="00236418">
      <w:pPr>
        <w:pStyle w:val="Heading3"/>
      </w:pPr>
    </w:p>
    <w:p w14:paraId="4356E35B" w14:textId="77777777" w:rsidR="001C5734" w:rsidRPr="001C5734" w:rsidRDefault="001C5734" w:rsidP="001C5734"/>
    <w:p w14:paraId="0EC5CB00" w14:textId="77777777" w:rsidR="00960F99" w:rsidRPr="00960F99" w:rsidRDefault="00960F99" w:rsidP="00960F99"/>
    <w:p w14:paraId="484D79AD" w14:textId="77777777" w:rsidR="00236418" w:rsidRDefault="00C2031F" w:rsidP="00236418">
      <w:pPr>
        <w:pStyle w:val="Heading3"/>
        <w:sectPr w:rsidR="00236418" w:rsidSect="00BC0291">
          <w:footnotePr>
            <w:pos w:val="beneathText"/>
          </w:footnotePr>
          <w:endnotePr>
            <w:numFmt w:val="decimal"/>
          </w:endnotePr>
          <w:type w:val="continuous"/>
          <w:pgSz w:w="11906" w:h="16838" w:code="9"/>
          <w:pgMar w:top="1440" w:right="1440" w:bottom="1440" w:left="1440" w:header="1418" w:footer="1418" w:gutter="0"/>
          <w:pgNumType w:start="0"/>
          <w:cols w:space="720"/>
          <w:titlePg/>
          <w:docGrid w:linePitch="326"/>
        </w:sectPr>
      </w:pPr>
      <w:r>
        <w:lastRenderedPageBreak/>
        <w:t>References</w:t>
      </w:r>
    </w:p>
    <w:p w14:paraId="7F910D03" w14:textId="3A5517E6" w:rsidR="00236418" w:rsidRDefault="00236418" w:rsidP="00236418">
      <w:pPr>
        <w:pStyle w:val="Heading3"/>
      </w:pPr>
    </w:p>
    <w:p w14:paraId="7F1FD5DD" w14:textId="466A8585" w:rsidR="00266D65" w:rsidRDefault="00266D65" w:rsidP="005B70EC">
      <w:pPr>
        <w:rPr>
          <w:b/>
        </w:rPr>
      </w:pPr>
      <w:r>
        <w:br w:type="page"/>
      </w:r>
    </w:p>
    <w:p w14:paraId="7F1FD5DE" w14:textId="77777777" w:rsidR="00266D65" w:rsidRDefault="00266D65" w:rsidP="00236418">
      <w:pPr>
        <w:pStyle w:val="Heading2"/>
        <w:rPr>
          <w:rFonts w:eastAsia="Calibri"/>
        </w:rPr>
      </w:pPr>
      <w:r>
        <w:rPr>
          <w:rFonts w:eastAsia="Calibri"/>
        </w:rPr>
        <w:lastRenderedPageBreak/>
        <w:t>Stability and support</w:t>
      </w:r>
    </w:p>
    <w:p w14:paraId="7AFEADCA" w14:textId="77777777" w:rsidR="008F2DDA" w:rsidRDefault="008F2DDA" w:rsidP="005B70EC"/>
    <w:p w14:paraId="7F1FD5DF" w14:textId="1D7DB7BE" w:rsidR="00266D65" w:rsidRDefault="00266D65" w:rsidP="005B70EC">
      <w:r>
        <w:t>The stability of a person’s housing situation can either be supported or undermined by its affordability (including the cost of key services, like energy), its quality (including responsiveness to maintenance and repairs), its suitability (for example, being the right size for the household) and levels of neighbourhood safety and feelings of safety</w:t>
      </w:r>
      <w:r>
        <w:rPr>
          <w:vertAlign w:val="superscript"/>
        </w:rPr>
        <w:endnoteReference w:id="34"/>
      </w:r>
      <w:r>
        <w:t xml:space="preserve">. </w:t>
      </w:r>
    </w:p>
    <w:p w14:paraId="7F1FD5E0" w14:textId="77777777" w:rsidR="00266D65" w:rsidRDefault="00266D65" w:rsidP="005B70EC">
      <w:r>
        <w:t>When these aspects are poor, people are more likely to move home against their will and repeat involuntary moves create housing instability, which impact negatively on health</w:t>
      </w:r>
      <w:r>
        <w:rPr>
          <w:vertAlign w:val="superscript"/>
        </w:rPr>
        <w:endnoteReference w:id="35"/>
      </w:r>
      <w:r>
        <w:t>. They may also struggle to see their home as a secure base, in which they feel belonging and over which they feel a sense of ownership</w:t>
      </w:r>
      <w:r>
        <w:rPr>
          <w:vertAlign w:val="superscript"/>
        </w:rPr>
        <w:endnoteReference w:id="36"/>
      </w:r>
      <w:r>
        <w:t>.</w:t>
      </w:r>
    </w:p>
    <w:p w14:paraId="7F1FD5E1" w14:textId="77777777" w:rsidR="00266D65" w:rsidRDefault="00266D65" w:rsidP="005B70EC">
      <w:r>
        <w:t>Successfully establishing a sense of home can support people to cope with chronic stress from other (non-housing) sources and protect mental health. It can also support the development of local friendships and support networks</w:t>
      </w:r>
      <w:r>
        <w:rPr>
          <w:vertAlign w:val="superscript"/>
        </w:rPr>
        <w:endnoteReference w:id="37"/>
      </w:r>
      <w:r>
        <w:t>, which can help to combat loneliness and provide wider support.</w:t>
      </w:r>
    </w:p>
    <w:p w14:paraId="7F1FD5E2" w14:textId="77777777" w:rsidR="00266D65" w:rsidRDefault="00266D65" w:rsidP="005B70EC">
      <w:r>
        <w:t>When people have an unstable housing situation, this increases their risk of homelessness</w:t>
      </w:r>
      <w:r>
        <w:rPr>
          <w:vertAlign w:val="superscript"/>
        </w:rPr>
        <w:endnoteReference w:id="38"/>
      </w:r>
      <w:r>
        <w:t>. Even short-term homelessness, for example staying with a friend or family member on a temporary basis, has an impact on mental and physical health</w:t>
      </w:r>
      <w:r>
        <w:rPr>
          <w:vertAlign w:val="superscript"/>
        </w:rPr>
        <w:endnoteReference w:id="39"/>
      </w:r>
      <w:r>
        <w:t>. It also creates a lack of continuity in the residents within neighbourhoods, which further undermines local social networks that could provide support and reassurance. This has an impact on resident’s experiences of loneliness and isolation and, in turn, on their mental health</w:t>
      </w:r>
      <w:r>
        <w:rPr>
          <w:vertAlign w:val="superscript"/>
        </w:rPr>
        <w:endnoteReference w:id="40"/>
      </w:r>
      <w:r>
        <w:t>.</w:t>
      </w:r>
    </w:p>
    <w:p w14:paraId="7F1FD5E3" w14:textId="77777777" w:rsidR="00266D65" w:rsidRDefault="00266D65" w:rsidP="005B70EC"/>
    <w:p w14:paraId="2BAE4E0E" w14:textId="77777777" w:rsidR="008F2DDA" w:rsidRDefault="008F2DDA" w:rsidP="005B70EC"/>
    <w:p w14:paraId="7F1FD5E4" w14:textId="06E6EB99" w:rsidR="00266D65" w:rsidRDefault="00266D65" w:rsidP="00236418">
      <w:pPr>
        <w:pStyle w:val="Heading3"/>
        <w:rPr>
          <w:rFonts w:eastAsia="Calibri"/>
        </w:rPr>
      </w:pPr>
      <w:r>
        <w:rPr>
          <w:rFonts w:eastAsia="Calibri"/>
        </w:rPr>
        <w:t>Further reading</w:t>
      </w:r>
    </w:p>
    <w:p w14:paraId="7F1FD5E5" w14:textId="77777777" w:rsidR="00266D65" w:rsidRPr="00236418" w:rsidRDefault="00266D65" w:rsidP="005B70EC">
      <w:r w:rsidRPr="00236418">
        <w:t>Academic evidence based on quantitative research:</w:t>
      </w:r>
    </w:p>
    <w:p w14:paraId="7F1FD5E6" w14:textId="77777777" w:rsidR="00266D65" w:rsidRPr="00236418" w:rsidRDefault="00266D65" w:rsidP="00236418">
      <w:pPr>
        <w:pStyle w:val="ListParagraph"/>
        <w:numPr>
          <w:ilvl w:val="0"/>
          <w:numId w:val="8"/>
        </w:numPr>
        <w:rPr>
          <w:u w:val="single"/>
        </w:rPr>
      </w:pPr>
      <w:hyperlink r:id="rId48">
        <w:r w:rsidRPr="00236418">
          <w:rPr>
            <w:color w:val="1155CC"/>
            <w:u w:val="single"/>
          </w:rPr>
          <w:t>Housing as a determinant of health equity: a conceptual model (2019)</w:t>
        </w:r>
      </w:hyperlink>
    </w:p>
    <w:p w14:paraId="7F1FD5E7" w14:textId="77777777" w:rsidR="00266D65" w:rsidRDefault="00266D65" w:rsidP="00236418">
      <w:pPr>
        <w:pStyle w:val="ListParagraph"/>
        <w:numPr>
          <w:ilvl w:val="0"/>
          <w:numId w:val="8"/>
        </w:numPr>
      </w:pPr>
      <w:hyperlink r:id="rId49">
        <w:r w:rsidRPr="00236418">
          <w:rPr>
            <w:color w:val="1155CC"/>
            <w:u w:val="single"/>
          </w:rPr>
          <w:t>Developing empirically supported theories of change for housing investment and healt</w:t>
        </w:r>
      </w:hyperlink>
      <w:r>
        <w:t>h (2015)</w:t>
      </w:r>
    </w:p>
    <w:p w14:paraId="7F1FD5E8" w14:textId="77777777" w:rsidR="00266D65" w:rsidRDefault="00266D65" w:rsidP="00236418">
      <w:pPr>
        <w:pStyle w:val="ListParagraph"/>
        <w:numPr>
          <w:ilvl w:val="0"/>
          <w:numId w:val="8"/>
        </w:numPr>
      </w:pPr>
      <w:hyperlink r:id="rId50">
        <w:r w:rsidRPr="00236418">
          <w:rPr>
            <w:color w:val="1155CC"/>
            <w:u w:val="single"/>
          </w:rPr>
          <w:t>Housing disadvantage and poor mental health: a systematic review</w:t>
        </w:r>
      </w:hyperlink>
      <w:r>
        <w:t xml:space="preserve"> (2019)</w:t>
      </w:r>
    </w:p>
    <w:p w14:paraId="7F1FD5E9" w14:textId="77777777" w:rsidR="00266D65" w:rsidRDefault="00266D65" w:rsidP="00236418">
      <w:pPr>
        <w:pStyle w:val="ListParagraph"/>
        <w:numPr>
          <w:ilvl w:val="0"/>
          <w:numId w:val="8"/>
        </w:numPr>
      </w:pPr>
      <w:hyperlink r:id="rId51">
        <w:r w:rsidRPr="00236418">
          <w:rPr>
            <w:color w:val="1155CC"/>
            <w:u w:val="single"/>
          </w:rPr>
          <w:t>The relationship between buildings and health: a systematic review</w:t>
        </w:r>
      </w:hyperlink>
      <w:r>
        <w:t xml:space="preserve"> (2019)</w:t>
      </w:r>
    </w:p>
    <w:p w14:paraId="7F1FD5EA" w14:textId="77777777" w:rsidR="00266D65" w:rsidRPr="00236418" w:rsidRDefault="00266D65" w:rsidP="005B70EC">
      <w:r w:rsidRPr="00236418">
        <w:t>Research evidence from the UK Collaborative Centre for Housing Evidence:</w:t>
      </w:r>
    </w:p>
    <w:p w14:paraId="7F1FD5EB" w14:textId="77777777" w:rsidR="00266D65" w:rsidRPr="00236418" w:rsidRDefault="00266D65" w:rsidP="00236418">
      <w:pPr>
        <w:pStyle w:val="ListParagraph"/>
        <w:numPr>
          <w:ilvl w:val="0"/>
          <w:numId w:val="9"/>
        </w:numPr>
        <w:rPr>
          <w:u w:val="single"/>
        </w:rPr>
      </w:pPr>
      <w:hyperlink r:id="rId52">
        <w:r w:rsidRPr="00236418">
          <w:rPr>
            <w:color w:val="1155CC"/>
            <w:u w:val="single"/>
          </w:rPr>
          <w:t>Living in Scotland’s private rented sector (2022)</w:t>
        </w:r>
      </w:hyperlink>
    </w:p>
    <w:p w14:paraId="7F1FD5EC" w14:textId="77777777" w:rsidR="00266D65" w:rsidRPr="00236418" w:rsidRDefault="00266D65" w:rsidP="00236418">
      <w:pPr>
        <w:pStyle w:val="ListParagraph"/>
        <w:numPr>
          <w:ilvl w:val="0"/>
          <w:numId w:val="9"/>
        </w:numPr>
        <w:rPr>
          <w:u w:val="single"/>
        </w:rPr>
      </w:pPr>
      <w:hyperlink r:id="rId53">
        <w:r w:rsidRPr="00236418">
          <w:rPr>
            <w:color w:val="1155CC"/>
            <w:u w:val="single"/>
          </w:rPr>
          <w:t>Housing challenges faced by low-income and other vulnerable privately renting households (2022)</w:t>
        </w:r>
      </w:hyperlink>
    </w:p>
    <w:p w14:paraId="2741095E" w14:textId="342DD645" w:rsidR="00236418" w:rsidRPr="009F2344" w:rsidRDefault="00266D65" w:rsidP="00236418">
      <w:pPr>
        <w:pStyle w:val="ListParagraph"/>
        <w:numPr>
          <w:ilvl w:val="0"/>
          <w:numId w:val="9"/>
        </w:numPr>
        <w:rPr>
          <w:u w:val="single"/>
        </w:rPr>
      </w:pPr>
      <w:hyperlink r:id="rId54">
        <w:r w:rsidRPr="00236418">
          <w:rPr>
            <w:color w:val="1155CC"/>
            <w:u w:val="single"/>
          </w:rPr>
          <w:t>Health and wellbeing in the UK private rented sector: enhancing capabilities (2021)</w:t>
        </w:r>
      </w:hyperlink>
    </w:p>
    <w:p w14:paraId="50E80CB7" w14:textId="77777777" w:rsidR="008F2DDA" w:rsidRDefault="008F2DDA" w:rsidP="008F2DDA"/>
    <w:p w14:paraId="2F18B599" w14:textId="77777777" w:rsidR="009F2344" w:rsidRDefault="009F2344" w:rsidP="008F2DDA"/>
    <w:p w14:paraId="12273CA8" w14:textId="77777777" w:rsidR="0016459F" w:rsidRDefault="0016459F" w:rsidP="008F2DDA"/>
    <w:p w14:paraId="3E1216A0" w14:textId="77777777" w:rsidR="008F2DDA" w:rsidRPr="008F2DDA" w:rsidRDefault="008F2DDA" w:rsidP="008F2DDA"/>
    <w:p w14:paraId="5CB3AA5E" w14:textId="77777777" w:rsidR="00236418" w:rsidRDefault="00236418" w:rsidP="00236418">
      <w:pPr>
        <w:pStyle w:val="Heading3"/>
        <w:sectPr w:rsidR="00236418" w:rsidSect="00BC0291">
          <w:footnotePr>
            <w:pos w:val="beneathText"/>
          </w:footnotePr>
          <w:endnotePr>
            <w:numFmt w:val="decimal"/>
          </w:endnotePr>
          <w:type w:val="continuous"/>
          <w:pgSz w:w="11906" w:h="16838" w:code="9"/>
          <w:pgMar w:top="1440" w:right="1440" w:bottom="1440" w:left="1440" w:header="1418" w:footer="1418" w:gutter="0"/>
          <w:pgNumType w:start="0"/>
          <w:cols w:space="720"/>
          <w:titlePg/>
          <w:docGrid w:linePitch="326"/>
        </w:sectPr>
      </w:pPr>
      <w:r>
        <w:lastRenderedPageBreak/>
        <w:t>References</w:t>
      </w:r>
    </w:p>
    <w:p w14:paraId="7B1995BD" w14:textId="77777777" w:rsidR="0016459F" w:rsidRDefault="0016459F">
      <w:pPr>
        <w:rPr>
          <w:rFonts w:eastAsia="Calibri" w:cstheme="majorBidi"/>
          <w:b/>
          <w:color w:val="2F5496"/>
          <w:sz w:val="24"/>
          <w:szCs w:val="28"/>
        </w:rPr>
      </w:pPr>
      <w:r>
        <w:rPr>
          <w:rFonts w:eastAsia="Calibri"/>
          <w:b/>
          <w:sz w:val="24"/>
          <w:szCs w:val="28"/>
        </w:rPr>
        <w:br w:type="page"/>
      </w:r>
    </w:p>
    <w:p w14:paraId="7F1FD5EF" w14:textId="1F927F7B" w:rsidR="00266D65" w:rsidRDefault="00266D65" w:rsidP="00DE7789">
      <w:pPr>
        <w:pStyle w:val="Heading2"/>
      </w:pPr>
      <w:r>
        <w:lastRenderedPageBreak/>
        <w:t>Cost and affordability</w:t>
      </w:r>
    </w:p>
    <w:p w14:paraId="0A3FC0BC" w14:textId="77777777" w:rsidR="00123687" w:rsidRDefault="00123687" w:rsidP="005B70EC"/>
    <w:p w14:paraId="7F1FD5F0" w14:textId="0E7A70A2" w:rsidR="00266D65" w:rsidRDefault="00266D65" w:rsidP="005B70EC">
      <w:r>
        <w:t>Housing affordability influences how much choice a household has in selecting a property to live in. These choices are especially limited for households on lower incomes, whose options are determined by a combination of the availability of social housing, market-led housing costs, housing-related benefits and ability to work</w:t>
      </w:r>
      <w:r>
        <w:rPr>
          <w:vertAlign w:val="superscript"/>
        </w:rPr>
        <w:endnoteReference w:id="41"/>
      </w:r>
      <w:r>
        <w:t>. This can result in a limited set of housing options that are poor quality, unsuitable for members of the household, unaffordable, or a combination of all three of these</w:t>
      </w:r>
      <w:r>
        <w:rPr>
          <w:vertAlign w:val="superscript"/>
        </w:rPr>
        <w:endnoteReference w:id="42"/>
      </w:r>
      <w:r>
        <w:t>.</w:t>
      </w:r>
    </w:p>
    <w:p w14:paraId="7F1FD5F1" w14:textId="77777777" w:rsidR="00266D65" w:rsidRDefault="00266D65" w:rsidP="005B70EC">
      <w:r>
        <w:t>Being unable to afford housing of the right size for a household results in overcrowding</w:t>
      </w:r>
      <w:r>
        <w:rPr>
          <w:vertAlign w:val="superscript"/>
        </w:rPr>
        <w:endnoteReference w:id="43"/>
      </w:r>
      <w:r>
        <w:t>. Overcrowding can undermine relationships between householders and generate chronic stress</w:t>
      </w:r>
      <w:r>
        <w:rPr>
          <w:vertAlign w:val="superscript"/>
        </w:rPr>
        <w:endnoteReference w:id="44"/>
      </w:r>
      <w:r>
        <w:t>. In addition, unaffordable housing costs cause financial stress</w:t>
      </w:r>
      <w:r>
        <w:rPr>
          <w:vertAlign w:val="superscript"/>
        </w:rPr>
        <w:endnoteReference w:id="45"/>
      </w:r>
      <w:r>
        <w:t xml:space="preserve"> and may result in growing household debt. Both of these have a negative impact on mental health</w:t>
      </w:r>
      <w:r>
        <w:rPr>
          <w:vertAlign w:val="superscript"/>
        </w:rPr>
        <w:endnoteReference w:id="46"/>
      </w:r>
      <w:r>
        <w:t xml:space="preserve">. </w:t>
      </w:r>
    </w:p>
    <w:p w14:paraId="7F1FD5F2" w14:textId="77777777" w:rsidR="00266D65" w:rsidRDefault="00266D65" w:rsidP="005B70EC">
      <w:r>
        <w:t>Debt, and particularly rent or mortgage arrears, can also increase the threat of homelessness, as well as the actual risk of being made homeless through eviction</w:t>
      </w:r>
      <w:r>
        <w:rPr>
          <w:vertAlign w:val="superscript"/>
        </w:rPr>
        <w:endnoteReference w:id="47"/>
      </w:r>
      <w:r>
        <w:t>. Homelessness and the threat of homelessness have impacts on mental and physical health outcomes</w:t>
      </w:r>
      <w:r>
        <w:rPr>
          <w:vertAlign w:val="superscript"/>
        </w:rPr>
        <w:endnoteReference w:id="48"/>
      </w:r>
      <w:r>
        <w:t xml:space="preserve">. </w:t>
      </w:r>
    </w:p>
    <w:p w14:paraId="7F1FD5F3" w14:textId="77777777" w:rsidR="00503847" w:rsidRDefault="00266D65" w:rsidP="005B70EC">
      <w:r>
        <w:t>These challenges can prevent people from feeling as though the home is a secure base, in which they feel belonging and over which they feel a sense of ownership. Successfully establishing a sense of home can support people to cope with chronic stress from other (non-housing) sources and protect mental health. It can also support the development of local friendships and support networks</w:t>
      </w:r>
      <w:r>
        <w:rPr>
          <w:vertAlign w:val="superscript"/>
        </w:rPr>
        <w:endnoteReference w:id="49"/>
      </w:r>
      <w:r>
        <w:t>,</w:t>
      </w:r>
      <w:r w:rsidR="00D6644C">
        <w:t xml:space="preserve"> which can help to combat loneliness and provide wider support.  </w:t>
      </w:r>
    </w:p>
    <w:p w14:paraId="7F1FD5F4" w14:textId="77777777" w:rsidR="00503847" w:rsidRDefault="00503847" w:rsidP="005B70EC"/>
    <w:p w14:paraId="238C6B26" w14:textId="77777777" w:rsidR="0016451B" w:rsidRDefault="0016451B" w:rsidP="005B70EC"/>
    <w:p w14:paraId="7F1FD5F5" w14:textId="4AD1A385" w:rsidR="00503847" w:rsidRDefault="00D6644C" w:rsidP="00DE7789">
      <w:pPr>
        <w:pStyle w:val="Heading3"/>
      </w:pPr>
      <w:r>
        <w:t>Further reading</w:t>
      </w:r>
    </w:p>
    <w:p w14:paraId="7F1FD5F6" w14:textId="77777777" w:rsidR="00503847" w:rsidRPr="00DE7789" w:rsidRDefault="00D6644C" w:rsidP="005B70EC">
      <w:r w:rsidRPr="00DE7789">
        <w:t>Academic evidence based on quantitative research:</w:t>
      </w:r>
    </w:p>
    <w:p w14:paraId="7F1FD5F7" w14:textId="77777777" w:rsidR="00503847" w:rsidRPr="00DE7789" w:rsidRDefault="00D6644C" w:rsidP="00DE7789">
      <w:pPr>
        <w:pStyle w:val="ListParagraph"/>
        <w:numPr>
          <w:ilvl w:val="0"/>
          <w:numId w:val="10"/>
        </w:numPr>
        <w:rPr>
          <w:u w:val="single"/>
        </w:rPr>
      </w:pPr>
      <w:hyperlink r:id="rId55">
        <w:r w:rsidRPr="00DE7789">
          <w:rPr>
            <w:color w:val="1155CC"/>
            <w:u w:val="single"/>
          </w:rPr>
          <w:t>Housing as a determinant of health equity: a conceptual model (2019)</w:t>
        </w:r>
      </w:hyperlink>
    </w:p>
    <w:p w14:paraId="7F1FD5F8" w14:textId="77777777" w:rsidR="00503847" w:rsidRDefault="00D6644C" w:rsidP="00DE7789">
      <w:pPr>
        <w:pStyle w:val="ListParagraph"/>
        <w:numPr>
          <w:ilvl w:val="0"/>
          <w:numId w:val="10"/>
        </w:numPr>
      </w:pPr>
      <w:hyperlink r:id="rId56">
        <w:r w:rsidRPr="00DE7789">
          <w:rPr>
            <w:color w:val="1155CC"/>
            <w:u w:val="single"/>
          </w:rPr>
          <w:t>Developing empirically supported theories of change for housing investment and healt</w:t>
        </w:r>
      </w:hyperlink>
      <w:r>
        <w:t>h (2015)</w:t>
      </w:r>
    </w:p>
    <w:p w14:paraId="7F1FD5F9" w14:textId="77777777" w:rsidR="00503847" w:rsidRDefault="00D6644C" w:rsidP="00DE7789">
      <w:pPr>
        <w:pStyle w:val="ListParagraph"/>
        <w:numPr>
          <w:ilvl w:val="0"/>
          <w:numId w:val="10"/>
        </w:numPr>
      </w:pPr>
      <w:hyperlink r:id="rId57">
        <w:r w:rsidRPr="00DE7789">
          <w:rPr>
            <w:color w:val="1155CC"/>
            <w:u w:val="single"/>
          </w:rPr>
          <w:t>Building health equity through housing policies: critical reflections and future directions for research (2022)</w:t>
        </w:r>
      </w:hyperlink>
    </w:p>
    <w:p w14:paraId="7F1FD5FA" w14:textId="77777777" w:rsidR="00503847" w:rsidRDefault="00D6644C" w:rsidP="00DE7789">
      <w:pPr>
        <w:pStyle w:val="ListParagraph"/>
        <w:numPr>
          <w:ilvl w:val="0"/>
          <w:numId w:val="10"/>
        </w:numPr>
      </w:pPr>
      <w:hyperlink r:id="rId58">
        <w:r w:rsidRPr="00DE7789">
          <w:rPr>
            <w:color w:val="1155CC"/>
            <w:u w:val="single"/>
          </w:rPr>
          <w:t>Housing as a social determinant of health and wellbeing: developing an empirically-informed realist framework (2020)</w:t>
        </w:r>
      </w:hyperlink>
    </w:p>
    <w:p w14:paraId="7F1FD5FB" w14:textId="77777777" w:rsidR="00503847" w:rsidRDefault="00D6644C" w:rsidP="00DE7789">
      <w:pPr>
        <w:pStyle w:val="ListParagraph"/>
        <w:numPr>
          <w:ilvl w:val="0"/>
          <w:numId w:val="10"/>
        </w:numPr>
      </w:pPr>
      <w:hyperlink r:id="rId59">
        <w:r w:rsidRPr="00DE7789">
          <w:rPr>
            <w:color w:val="1155CC"/>
            <w:u w:val="single"/>
          </w:rPr>
          <w:t>Housing improvements for health and associated socio-economic outcomes</w:t>
        </w:r>
      </w:hyperlink>
      <w:r>
        <w:t xml:space="preserve"> (2013)</w:t>
      </w:r>
    </w:p>
    <w:p w14:paraId="7F1FD5FC" w14:textId="77777777" w:rsidR="00503847" w:rsidRDefault="00D6644C" w:rsidP="00DE7789">
      <w:pPr>
        <w:pStyle w:val="ListParagraph"/>
        <w:numPr>
          <w:ilvl w:val="0"/>
          <w:numId w:val="10"/>
        </w:numPr>
      </w:pPr>
      <w:hyperlink r:id="rId60">
        <w:r w:rsidRPr="00DE7789">
          <w:rPr>
            <w:color w:val="1155CC"/>
            <w:u w:val="single"/>
          </w:rPr>
          <w:t>Housing and health: an overview (2020)</w:t>
        </w:r>
      </w:hyperlink>
    </w:p>
    <w:p w14:paraId="7F1FD5FD" w14:textId="77777777" w:rsidR="00503847" w:rsidRPr="00DE7789" w:rsidRDefault="00D6644C" w:rsidP="005B70EC">
      <w:r w:rsidRPr="00DE7789">
        <w:t>Research evidence from the UK Collaborative Centre for Housing Evidence:</w:t>
      </w:r>
    </w:p>
    <w:p w14:paraId="7F1FD5FE" w14:textId="77777777" w:rsidR="00503847" w:rsidRPr="00DE7789" w:rsidRDefault="00D6644C" w:rsidP="00DE7789">
      <w:pPr>
        <w:pStyle w:val="ListParagraph"/>
        <w:numPr>
          <w:ilvl w:val="0"/>
          <w:numId w:val="11"/>
        </w:numPr>
        <w:rPr>
          <w:u w:val="single"/>
        </w:rPr>
      </w:pPr>
      <w:hyperlink r:id="rId61">
        <w:r w:rsidRPr="00DE7789">
          <w:rPr>
            <w:color w:val="1155CC"/>
            <w:u w:val="single"/>
          </w:rPr>
          <w:t>Living in Scotland’s private rented sector (2022)</w:t>
        </w:r>
      </w:hyperlink>
    </w:p>
    <w:p w14:paraId="7F1FD5FF" w14:textId="77777777" w:rsidR="00503847" w:rsidRPr="00DE7789" w:rsidRDefault="00D6644C" w:rsidP="00DE7789">
      <w:pPr>
        <w:pStyle w:val="ListParagraph"/>
        <w:numPr>
          <w:ilvl w:val="0"/>
          <w:numId w:val="11"/>
        </w:numPr>
        <w:rPr>
          <w:u w:val="single"/>
        </w:rPr>
      </w:pPr>
      <w:hyperlink r:id="rId62">
        <w:r w:rsidRPr="00DE7789">
          <w:rPr>
            <w:color w:val="1155CC"/>
            <w:u w:val="single"/>
          </w:rPr>
          <w:t>Housing challenges faced by low-income and other vulnerable privately renting households (2022)</w:t>
        </w:r>
      </w:hyperlink>
    </w:p>
    <w:p w14:paraId="7F1FD600" w14:textId="77777777" w:rsidR="00503847" w:rsidRDefault="00503847" w:rsidP="005B70EC"/>
    <w:p w14:paraId="075461DF" w14:textId="1F4E0BC9" w:rsidR="0016459F" w:rsidRDefault="0016451B" w:rsidP="0016459F">
      <w:pPr>
        <w:pStyle w:val="Heading3"/>
        <w:sectPr w:rsidR="0016459F" w:rsidSect="0016459F">
          <w:footnotePr>
            <w:pos w:val="beneathText"/>
          </w:footnotePr>
          <w:endnotePr>
            <w:numFmt w:val="decimal"/>
          </w:endnotePr>
          <w:type w:val="continuous"/>
          <w:pgSz w:w="11906" w:h="16838" w:code="9"/>
          <w:pgMar w:top="1440" w:right="1440" w:bottom="1440" w:left="1440" w:header="1418" w:footer="1418" w:gutter="0"/>
          <w:pgNumType w:start="0"/>
          <w:cols w:space="720"/>
          <w:titlePg/>
          <w:docGrid w:linePitch="326"/>
        </w:sectPr>
      </w:pPr>
      <w:r>
        <w:lastRenderedPageBreak/>
        <w:t>Refere</w:t>
      </w:r>
      <w:r w:rsidR="00473117">
        <w:t>nces</w:t>
      </w:r>
    </w:p>
    <w:p w14:paraId="52751593" w14:textId="3686A40D" w:rsidR="00DF4578" w:rsidRPr="00DF4578" w:rsidRDefault="00DF4578" w:rsidP="00176EDD">
      <w:pPr>
        <w:pStyle w:val="Heading3"/>
      </w:pPr>
    </w:p>
    <w:sectPr w:rsidR="00DF4578" w:rsidRPr="00DF4578" w:rsidSect="00581FAD">
      <w:footnotePr>
        <w:pos w:val="beneathText"/>
      </w:footnotePr>
      <w:endnotePr>
        <w:numFmt w:val="decimal"/>
      </w:endnotePr>
      <w:type w:val="continuous"/>
      <w:pgSz w:w="11906" w:h="16838" w:code="9"/>
      <w:pgMar w:top="720" w:right="720" w:bottom="720" w:left="720" w:header="1418" w:footer="141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01458" w14:textId="77777777" w:rsidR="000D07F5" w:rsidRDefault="000D07F5">
      <w:pPr>
        <w:spacing w:after="0" w:line="240" w:lineRule="auto"/>
      </w:pPr>
      <w:r>
        <w:separator/>
      </w:r>
    </w:p>
  </w:endnote>
  <w:endnote w:type="continuationSeparator" w:id="0">
    <w:p w14:paraId="4EE1A97A" w14:textId="77777777" w:rsidR="000D07F5" w:rsidRDefault="000D07F5">
      <w:pPr>
        <w:spacing w:after="0" w:line="240" w:lineRule="auto"/>
      </w:pPr>
      <w:r>
        <w:continuationSeparator/>
      </w:r>
    </w:p>
  </w:endnote>
  <w:endnote w:type="continuationNotice" w:id="1">
    <w:p w14:paraId="35DC707F" w14:textId="77777777" w:rsidR="000D07F5" w:rsidRDefault="000D07F5">
      <w:pPr>
        <w:spacing w:after="0" w:line="240" w:lineRule="auto"/>
      </w:pPr>
    </w:p>
  </w:endnote>
  <w:endnote w:id="2">
    <w:p w14:paraId="7F1FD601" w14:textId="77777777" w:rsidR="00266D65" w:rsidRPr="006A3DA3" w:rsidRDefault="00266D65">
      <w:pPr>
        <w:pBdr>
          <w:top w:val="nil"/>
          <w:left w:val="nil"/>
          <w:bottom w:val="nil"/>
          <w:right w:val="nil"/>
          <w:between w:val="nil"/>
        </w:pBdr>
        <w:spacing w:after="0" w:line="240" w:lineRule="auto"/>
        <w:rPr>
          <w:rFonts w:eastAsia="Calibri" w:cs="Arial"/>
          <w:color w:val="000000"/>
          <w:sz w:val="20"/>
          <w:szCs w:val="20"/>
        </w:rPr>
      </w:pPr>
      <w:r w:rsidRPr="006A3DA3">
        <w:rPr>
          <w:rStyle w:val="EndnoteReference"/>
          <w:rFonts w:cs="Arial"/>
          <w:sz w:val="20"/>
          <w:szCs w:val="20"/>
        </w:rPr>
        <w:endnoteRef/>
      </w:r>
      <w:r w:rsidRPr="006A3DA3">
        <w:rPr>
          <w:rFonts w:eastAsia="Calibri" w:cs="Arial"/>
          <w:color w:val="000000"/>
          <w:sz w:val="20"/>
          <w:szCs w:val="20"/>
        </w:rPr>
        <w:t xml:space="preserve"> </w:t>
      </w:r>
      <w:r w:rsidRPr="006A3DA3">
        <w:rPr>
          <w:rFonts w:eastAsia="Calibri" w:cs="Arial"/>
          <w:color w:val="212121"/>
          <w:sz w:val="20"/>
          <w:szCs w:val="20"/>
          <w:highlight w:val="white"/>
        </w:rPr>
        <w:t xml:space="preserve">Swope, C. B., &amp; Hernández, D. (2019). Housing as a determinant of health equity: A conceptual model. </w:t>
      </w:r>
      <w:r w:rsidRPr="006A3DA3">
        <w:rPr>
          <w:rFonts w:eastAsia="Calibri" w:cs="Arial"/>
          <w:i/>
          <w:color w:val="212121"/>
          <w:sz w:val="20"/>
          <w:szCs w:val="20"/>
          <w:highlight w:val="white"/>
        </w:rPr>
        <w:t>Social science &amp; medicine (1982)</w:t>
      </w:r>
      <w:r w:rsidRPr="006A3DA3">
        <w:rPr>
          <w:rFonts w:eastAsia="Calibri" w:cs="Arial"/>
          <w:color w:val="212121"/>
          <w:sz w:val="20"/>
          <w:szCs w:val="20"/>
          <w:highlight w:val="white"/>
        </w:rPr>
        <w:t xml:space="preserve">, </w:t>
      </w:r>
      <w:r w:rsidRPr="006A3DA3">
        <w:rPr>
          <w:rFonts w:eastAsia="Calibri" w:cs="Arial"/>
          <w:i/>
          <w:color w:val="212121"/>
          <w:sz w:val="20"/>
          <w:szCs w:val="20"/>
          <w:highlight w:val="white"/>
        </w:rPr>
        <w:t>243</w:t>
      </w:r>
      <w:r w:rsidRPr="006A3DA3">
        <w:rPr>
          <w:rFonts w:eastAsia="Calibri" w:cs="Arial"/>
          <w:color w:val="212121"/>
          <w:sz w:val="20"/>
          <w:szCs w:val="20"/>
          <w:highlight w:val="white"/>
        </w:rPr>
        <w:t xml:space="preserve">, 112571. </w:t>
      </w:r>
      <w:hyperlink r:id="rId1">
        <w:r w:rsidRPr="006A3DA3">
          <w:rPr>
            <w:rFonts w:eastAsia="Calibri" w:cs="Arial"/>
            <w:color w:val="1155CC"/>
            <w:sz w:val="20"/>
            <w:szCs w:val="20"/>
            <w:highlight w:val="white"/>
            <w:u w:val="single"/>
          </w:rPr>
          <w:t>https://doi.org/10.1016/j.socscimed.2019.112571</w:t>
        </w:r>
      </w:hyperlink>
      <w:r w:rsidRPr="006A3DA3">
        <w:rPr>
          <w:rFonts w:eastAsia="Calibri" w:cs="Arial"/>
          <w:color w:val="212121"/>
          <w:sz w:val="20"/>
          <w:szCs w:val="20"/>
          <w:highlight w:val="white"/>
        </w:rPr>
        <w:t xml:space="preserve"> </w:t>
      </w:r>
    </w:p>
  </w:endnote>
  <w:endnote w:id="3">
    <w:p w14:paraId="7F1FD602" w14:textId="77777777" w:rsidR="00266D65" w:rsidRPr="006A3DA3" w:rsidRDefault="00266D65">
      <w:pPr>
        <w:pBdr>
          <w:top w:val="nil"/>
          <w:left w:val="nil"/>
          <w:bottom w:val="nil"/>
          <w:right w:val="nil"/>
          <w:between w:val="nil"/>
        </w:pBdr>
        <w:spacing w:after="0" w:line="240" w:lineRule="auto"/>
        <w:rPr>
          <w:rFonts w:eastAsia="Calibri" w:cs="Arial"/>
          <w:color w:val="000000"/>
          <w:sz w:val="20"/>
          <w:szCs w:val="20"/>
        </w:rPr>
      </w:pPr>
      <w:r w:rsidRPr="006A3DA3">
        <w:rPr>
          <w:rStyle w:val="EndnoteReference"/>
          <w:rFonts w:cs="Arial"/>
          <w:sz w:val="20"/>
          <w:szCs w:val="20"/>
        </w:rPr>
        <w:endnoteRef/>
      </w:r>
      <w:r w:rsidRPr="0016459F">
        <w:rPr>
          <w:rFonts w:cs="Arial"/>
          <w:color w:val="000000"/>
          <w:sz w:val="20"/>
          <w:szCs w:val="20"/>
        </w:rPr>
        <w:t xml:space="preserve"> </w:t>
      </w:r>
      <w:r w:rsidRPr="0016459F">
        <w:rPr>
          <w:rFonts w:eastAsia="Calibri" w:cs="Arial"/>
          <w:color w:val="333333"/>
          <w:sz w:val="20"/>
          <w:szCs w:val="20"/>
          <w:highlight w:val="white"/>
        </w:rPr>
        <w:t xml:space="preserve">Rolfe, S., Garnham, L., Godwin, J. </w:t>
      </w:r>
      <w:r w:rsidRPr="0016459F">
        <w:rPr>
          <w:rFonts w:eastAsia="Calibri" w:cs="Arial"/>
          <w:i/>
          <w:color w:val="333333"/>
          <w:sz w:val="20"/>
          <w:szCs w:val="20"/>
          <w:highlight w:val="white"/>
        </w:rPr>
        <w:t>et al.</w:t>
      </w:r>
      <w:r w:rsidRPr="0016459F">
        <w:rPr>
          <w:rFonts w:eastAsia="Calibri" w:cs="Arial"/>
          <w:color w:val="333333"/>
          <w:sz w:val="20"/>
          <w:szCs w:val="20"/>
          <w:highlight w:val="white"/>
        </w:rPr>
        <w:t xml:space="preserve"> </w:t>
      </w:r>
      <w:r w:rsidRPr="006A3DA3">
        <w:rPr>
          <w:rFonts w:eastAsia="Calibri" w:cs="Arial"/>
          <w:color w:val="333333"/>
          <w:sz w:val="20"/>
          <w:szCs w:val="20"/>
          <w:highlight w:val="white"/>
        </w:rPr>
        <w:t xml:space="preserve">Housing as a social determinant of health and wellbeing: developing an </w:t>
      </w:r>
      <w:proofErr w:type="gramStart"/>
      <w:r w:rsidRPr="006A3DA3">
        <w:rPr>
          <w:rFonts w:eastAsia="Calibri" w:cs="Arial"/>
          <w:color w:val="333333"/>
          <w:sz w:val="20"/>
          <w:szCs w:val="20"/>
          <w:highlight w:val="white"/>
        </w:rPr>
        <w:t>empirically-informed</w:t>
      </w:r>
      <w:proofErr w:type="gramEnd"/>
      <w:r w:rsidRPr="006A3DA3">
        <w:rPr>
          <w:rFonts w:eastAsia="Calibri" w:cs="Arial"/>
          <w:color w:val="333333"/>
          <w:sz w:val="20"/>
          <w:szCs w:val="20"/>
          <w:highlight w:val="white"/>
        </w:rPr>
        <w:t xml:space="preserve"> realist theoretical framework. </w:t>
      </w:r>
      <w:r w:rsidRPr="006A3DA3">
        <w:rPr>
          <w:rFonts w:eastAsia="Calibri" w:cs="Arial"/>
          <w:i/>
          <w:color w:val="333333"/>
          <w:sz w:val="20"/>
          <w:szCs w:val="20"/>
          <w:highlight w:val="white"/>
        </w:rPr>
        <w:t>BMC Public Health</w:t>
      </w:r>
      <w:r w:rsidRPr="006A3DA3">
        <w:rPr>
          <w:rFonts w:eastAsia="Calibri" w:cs="Arial"/>
          <w:color w:val="333333"/>
          <w:sz w:val="20"/>
          <w:szCs w:val="20"/>
          <w:highlight w:val="white"/>
        </w:rPr>
        <w:t xml:space="preserve"> 20, 1138 (2020). </w:t>
      </w:r>
      <w:hyperlink r:id="rId2">
        <w:r w:rsidRPr="006A3DA3">
          <w:rPr>
            <w:rFonts w:eastAsia="Calibri" w:cs="Arial"/>
            <w:color w:val="1155CC"/>
            <w:sz w:val="20"/>
            <w:szCs w:val="20"/>
            <w:highlight w:val="white"/>
            <w:u w:val="single"/>
          </w:rPr>
          <w:t>https://doi.org/10.1186/s12889-020-09224-0</w:t>
        </w:r>
      </w:hyperlink>
      <w:r w:rsidRPr="006A3DA3">
        <w:rPr>
          <w:rFonts w:eastAsia="Calibri" w:cs="Arial"/>
          <w:color w:val="333333"/>
          <w:sz w:val="20"/>
          <w:szCs w:val="20"/>
          <w:highlight w:val="white"/>
        </w:rPr>
        <w:t xml:space="preserve"> </w:t>
      </w:r>
    </w:p>
  </w:endnote>
  <w:endnote w:id="4">
    <w:p w14:paraId="7F1FD603" w14:textId="77777777" w:rsidR="00266D65" w:rsidRPr="006A3DA3" w:rsidRDefault="00266D65">
      <w:pPr>
        <w:spacing w:after="0" w:line="240" w:lineRule="auto"/>
        <w:rPr>
          <w:rFonts w:eastAsia="Calibri" w:cs="Arial"/>
          <w:sz w:val="20"/>
          <w:szCs w:val="20"/>
        </w:rPr>
      </w:pPr>
      <w:r w:rsidRPr="006A3DA3">
        <w:rPr>
          <w:rStyle w:val="EndnoteReference"/>
          <w:rFonts w:cs="Arial"/>
          <w:sz w:val="20"/>
          <w:szCs w:val="20"/>
        </w:rPr>
        <w:endnoteRef/>
      </w:r>
      <w:r w:rsidRPr="0016459F">
        <w:rPr>
          <w:rFonts w:cs="Arial"/>
          <w:sz w:val="20"/>
          <w:szCs w:val="20"/>
        </w:rPr>
        <w:t xml:space="preserve"> </w:t>
      </w:r>
      <w:r w:rsidRPr="0016459F">
        <w:rPr>
          <w:rFonts w:eastAsia="Calibri" w:cs="Arial"/>
          <w:color w:val="333333"/>
          <w:sz w:val="20"/>
          <w:szCs w:val="20"/>
          <w:highlight w:val="white"/>
        </w:rPr>
        <w:t xml:space="preserve">Rolfe, S., Garnham, L., Godwin, J. </w:t>
      </w:r>
      <w:r w:rsidRPr="0016459F">
        <w:rPr>
          <w:rFonts w:eastAsia="Calibri" w:cs="Arial"/>
          <w:i/>
          <w:color w:val="333333"/>
          <w:sz w:val="20"/>
          <w:szCs w:val="20"/>
          <w:highlight w:val="white"/>
        </w:rPr>
        <w:t>et al.</w:t>
      </w:r>
      <w:r w:rsidRPr="0016459F">
        <w:rPr>
          <w:rFonts w:eastAsia="Calibri" w:cs="Arial"/>
          <w:color w:val="333333"/>
          <w:sz w:val="20"/>
          <w:szCs w:val="20"/>
          <w:highlight w:val="white"/>
        </w:rPr>
        <w:t xml:space="preserve"> </w:t>
      </w:r>
      <w:r w:rsidRPr="006A3DA3">
        <w:rPr>
          <w:rFonts w:eastAsia="Calibri" w:cs="Arial"/>
          <w:color w:val="333333"/>
          <w:sz w:val="20"/>
          <w:szCs w:val="20"/>
          <w:highlight w:val="white"/>
        </w:rPr>
        <w:t xml:space="preserve">Housing as a social determinant of health and wellbeing: developing an </w:t>
      </w:r>
      <w:proofErr w:type="gramStart"/>
      <w:r w:rsidRPr="006A3DA3">
        <w:rPr>
          <w:rFonts w:eastAsia="Calibri" w:cs="Arial"/>
          <w:color w:val="333333"/>
          <w:sz w:val="20"/>
          <w:szCs w:val="20"/>
          <w:highlight w:val="white"/>
        </w:rPr>
        <w:t>empirically-informed</w:t>
      </w:r>
      <w:proofErr w:type="gramEnd"/>
      <w:r w:rsidRPr="006A3DA3">
        <w:rPr>
          <w:rFonts w:eastAsia="Calibri" w:cs="Arial"/>
          <w:color w:val="333333"/>
          <w:sz w:val="20"/>
          <w:szCs w:val="20"/>
          <w:highlight w:val="white"/>
        </w:rPr>
        <w:t xml:space="preserve"> realist theoretical framework. </w:t>
      </w:r>
      <w:r w:rsidRPr="006A3DA3">
        <w:rPr>
          <w:rFonts w:eastAsia="Calibri" w:cs="Arial"/>
          <w:i/>
          <w:color w:val="333333"/>
          <w:sz w:val="20"/>
          <w:szCs w:val="20"/>
          <w:highlight w:val="white"/>
        </w:rPr>
        <w:t>BMC Public Health</w:t>
      </w:r>
      <w:r w:rsidRPr="006A3DA3">
        <w:rPr>
          <w:rFonts w:eastAsia="Calibri" w:cs="Arial"/>
          <w:color w:val="333333"/>
          <w:sz w:val="20"/>
          <w:szCs w:val="20"/>
          <w:highlight w:val="white"/>
        </w:rPr>
        <w:t xml:space="preserve"> 20, 1138 (2020). </w:t>
      </w:r>
      <w:hyperlink r:id="rId3">
        <w:r w:rsidRPr="006A3DA3">
          <w:rPr>
            <w:rFonts w:eastAsia="Calibri" w:cs="Arial"/>
            <w:color w:val="1155CC"/>
            <w:sz w:val="20"/>
            <w:szCs w:val="20"/>
            <w:highlight w:val="white"/>
            <w:u w:val="single"/>
          </w:rPr>
          <w:t>https://doi.org/10.1186/s12889-020-09224-0</w:t>
        </w:r>
      </w:hyperlink>
      <w:r w:rsidRPr="006A3DA3">
        <w:rPr>
          <w:rFonts w:eastAsia="Calibri" w:cs="Arial"/>
          <w:color w:val="333333"/>
          <w:sz w:val="20"/>
          <w:szCs w:val="20"/>
          <w:highlight w:val="white"/>
        </w:rPr>
        <w:t xml:space="preserve"> </w:t>
      </w:r>
    </w:p>
  </w:endnote>
  <w:endnote w:id="5">
    <w:p w14:paraId="7F1FD604" w14:textId="77777777" w:rsidR="00266D65" w:rsidRPr="006A3DA3" w:rsidRDefault="00266D65">
      <w:pPr>
        <w:spacing w:after="0" w:line="240" w:lineRule="auto"/>
        <w:rPr>
          <w:rFonts w:eastAsia="Calibri" w:cs="Arial"/>
          <w:sz w:val="20"/>
          <w:szCs w:val="20"/>
        </w:rPr>
      </w:pPr>
      <w:r w:rsidRPr="006A3DA3">
        <w:rPr>
          <w:rStyle w:val="EndnoteReference"/>
          <w:rFonts w:cs="Arial"/>
          <w:sz w:val="20"/>
          <w:szCs w:val="20"/>
        </w:rPr>
        <w:endnoteRef/>
      </w:r>
      <w:r w:rsidRPr="006A3DA3">
        <w:rPr>
          <w:rFonts w:cs="Arial"/>
          <w:sz w:val="20"/>
          <w:szCs w:val="20"/>
        </w:rPr>
        <w:t xml:space="preserve"> </w:t>
      </w:r>
      <w:r w:rsidRPr="006A3DA3">
        <w:rPr>
          <w:rFonts w:eastAsia="Calibri" w:cs="Arial"/>
          <w:color w:val="3A3A3A"/>
          <w:sz w:val="20"/>
          <w:szCs w:val="20"/>
          <w:highlight w:val="white"/>
        </w:rPr>
        <w:t xml:space="preserve">Rosenberg, J. (2012). Social housing, community empowerment and well-being: part two - measuring the benefits of empowerment through community ownership. </w:t>
      </w:r>
      <w:r w:rsidRPr="006A3DA3">
        <w:rPr>
          <w:rFonts w:eastAsia="Calibri" w:cs="Arial"/>
          <w:i/>
          <w:color w:val="3A3A3A"/>
          <w:sz w:val="20"/>
          <w:szCs w:val="20"/>
          <w:highlight w:val="white"/>
        </w:rPr>
        <w:t>Housing, Care and Support</w:t>
      </w:r>
      <w:r w:rsidRPr="006A3DA3">
        <w:rPr>
          <w:rFonts w:eastAsia="Calibri" w:cs="Arial"/>
          <w:color w:val="3A3A3A"/>
          <w:sz w:val="20"/>
          <w:szCs w:val="20"/>
          <w:highlight w:val="white"/>
        </w:rPr>
        <w:t xml:space="preserve">, </w:t>
      </w:r>
      <w:r w:rsidRPr="006A3DA3">
        <w:rPr>
          <w:rFonts w:eastAsia="Calibri" w:cs="Arial"/>
          <w:i/>
          <w:color w:val="3A3A3A"/>
          <w:sz w:val="20"/>
          <w:szCs w:val="20"/>
          <w:highlight w:val="white"/>
        </w:rPr>
        <w:t>15</w:t>
      </w:r>
      <w:r w:rsidRPr="006A3DA3">
        <w:rPr>
          <w:rFonts w:eastAsia="Calibri" w:cs="Arial"/>
          <w:color w:val="3A3A3A"/>
          <w:sz w:val="20"/>
          <w:szCs w:val="20"/>
          <w:highlight w:val="white"/>
        </w:rPr>
        <w:t xml:space="preserve">(1), 24–33. </w:t>
      </w:r>
      <w:hyperlink r:id="rId4">
        <w:r w:rsidRPr="006A3DA3">
          <w:rPr>
            <w:rFonts w:eastAsia="Calibri" w:cs="Arial"/>
            <w:color w:val="1155CC"/>
            <w:sz w:val="20"/>
            <w:szCs w:val="20"/>
            <w:highlight w:val="white"/>
            <w:u w:val="single"/>
          </w:rPr>
          <w:t>https://doi.org/10.1108/14608791211238403</w:t>
        </w:r>
      </w:hyperlink>
      <w:r w:rsidRPr="006A3DA3">
        <w:rPr>
          <w:rFonts w:eastAsia="Calibri" w:cs="Arial"/>
          <w:color w:val="3A3A3A"/>
          <w:sz w:val="20"/>
          <w:szCs w:val="20"/>
          <w:highlight w:val="white"/>
        </w:rPr>
        <w:t xml:space="preserve"> </w:t>
      </w:r>
    </w:p>
  </w:endnote>
  <w:endnote w:id="6">
    <w:p w14:paraId="7F1FD605" w14:textId="77777777" w:rsidR="00266D65" w:rsidRPr="006A3DA3" w:rsidRDefault="00266D65">
      <w:pPr>
        <w:pBdr>
          <w:top w:val="nil"/>
          <w:left w:val="nil"/>
          <w:bottom w:val="nil"/>
          <w:right w:val="nil"/>
          <w:between w:val="nil"/>
        </w:pBdr>
        <w:spacing w:after="0" w:line="240" w:lineRule="auto"/>
        <w:rPr>
          <w:rFonts w:eastAsia="Calibri" w:cs="Arial"/>
          <w:color w:val="000000"/>
          <w:sz w:val="20"/>
          <w:szCs w:val="20"/>
        </w:rPr>
      </w:pPr>
      <w:r w:rsidRPr="006A3DA3">
        <w:rPr>
          <w:rStyle w:val="EndnoteReference"/>
          <w:rFonts w:cs="Arial"/>
          <w:sz w:val="20"/>
          <w:szCs w:val="20"/>
        </w:rPr>
        <w:endnoteRef/>
      </w:r>
      <w:r w:rsidRPr="006A3DA3">
        <w:rPr>
          <w:rFonts w:cs="Arial"/>
          <w:color w:val="000000"/>
          <w:sz w:val="20"/>
          <w:szCs w:val="20"/>
        </w:rPr>
        <w:t xml:space="preserve"> </w:t>
      </w:r>
      <w:r w:rsidRPr="006A3DA3">
        <w:rPr>
          <w:rFonts w:eastAsia="Calibri" w:cs="Arial"/>
          <w:color w:val="212121"/>
          <w:sz w:val="20"/>
          <w:szCs w:val="20"/>
          <w:highlight w:val="white"/>
        </w:rPr>
        <w:t xml:space="preserve">Swope, C. B., &amp; Hernández, D. (2019). Housing as a determinant of health equity: A conceptual model. </w:t>
      </w:r>
      <w:r w:rsidRPr="006A3DA3">
        <w:rPr>
          <w:rFonts w:eastAsia="Calibri" w:cs="Arial"/>
          <w:i/>
          <w:color w:val="212121"/>
          <w:sz w:val="20"/>
          <w:szCs w:val="20"/>
          <w:highlight w:val="white"/>
        </w:rPr>
        <w:t>Social science &amp; medicine (1982)</w:t>
      </w:r>
      <w:r w:rsidRPr="006A3DA3">
        <w:rPr>
          <w:rFonts w:eastAsia="Calibri" w:cs="Arial"/>
          <w:color w:val="212121"/>
          <w:sz w:val="20"/>
          <w:szCs w:val="20"/>
          <w:highlight w:val="white"/>
        </w:rPr>
        <w:t xml:space="preserve">, </w:t>
      </w:r>
      <w:r w:rsidRPr="006A3DA3">
        <w:rPr>
          <w:rFonts w:eastAsia="Calibri" w:cs="Arial"/>
          <w:i/>
          <w:color w:val="212121"/>
          <w:sz w:val="20"/>
          <w:szCs w:val="20"/>
          <w:highlight w:val="white"/>
        </w:rPr>
        <w:t>243</w:t>
      </w:r>
      <w:r w:rsidRPr="006A3DA3">
        <w:rPr>
          <w:rFonts w:eastAsia="Calibri" w:cs="Arial"/>
          <w:color w:val="212121"/>
          <w:sz w:val="20"/>
          <w:szCs w:val="20"/>
          <w:highlight w:val="white"/>
        </w:rPr>
        <w:t xml:space="preserve">, 112571. </w:t>
      </w:r>
      <w:hyperlink r:id="rId5">
        <w:r w:rsidRPr="006A3DA3">
          <w:rPr>
            <w:rFonts w:eastAsia="Calibri" w:cs="Arial"/>
            <w:color w:val="1155CC"/>
            <w:sz w:val="20"/>
            <w:szCs w:val="20"/>
            <w:highlight w:val="white"/>
            <w:u w:val="single"/>
          </w:rPr>
          <w:t>https://doi.org/10.1016/j.socscimed.2019.112571</w:t>
        </w:r>
      </w:hyperlink>
      <w:r w:rsidRPr="006A3DA3">
        <w:rPr>
          <w:rFonts w:eastAsia="Calibri" w:cs="Arial"/>
          <w:color w:val="212121"/>
          <w:sz w:val="20"/>
          <w:szCs w:val="20"/>
          <w:highlight w:val="white"/>
        </w:rPr>
        <w:t xml:space="preserve"> </w:t>
      </w:r>
    </w:p>
  </w:endnote>
  <w:endnote w:id="7">
    <w:p w14:paraId="7F1FD606" w14:textId="77777777" w:rsidR="00266D65" w:rsidRPr="006A3DA3" w:rsidRDefault="00266D65">
      <w:pPr>
        <w:pBdr>
          <w:top w:val="nil"/>
          <w:left w:val="nil"/>
          <w:bottom w:val="nil"/>
          <w:right w:val="nil"/>
          <w:between w:val="nil"/>
        </w:pBdr>
        <w:spacing w:after="0" w:line="240" w:lineRule="auto"/>
        <w:rPr>
          <w:rFonts w:eastAsia="Calibri" w:cs="Arial"/>
          <w:color w:val="000000"/>
          <w:sz w:val="20"/>
          <w:szCs w:val="20"/>
        </w:rPr>
      </w:pPr>
      <w:r w:rsidRPr="006A3DA3">
        <w:rPr>
          <w:rStyle w:val="EndnoteReference"/>
          <w:rFonts w:cs="Arial"/>
          <w:sz w:val="20"/>
          <w:szCs w:val="20"/>
        </w:rPr>
        <w:endnoteRef/>
      </w:r>
      <w:r w:rsidRPr="006A3DA3">
        <w:rPr>
          <w:rFonts w:cs="Arial"/>
          <w:color w:val="000000"/>
          <w:sz w:val="20"/>
          <w:szCs w:val="20"/>
        </w:rPr>
        <w:t xml:space="preserve"> </w:t>
      </w:r>
      <w:r w:rsidRPr="006A3DA3">
        <w:rPr>
          <w:rFonts w:eastAsia="Calibri" w:cs="Arial"/>
          <w:color w:val="212121"/>
          <w:sz w:val="20"/>
          <w:szCs w:val="20"/>
          <w:highlight w:val="white"/>
        </w:rPr>
        <w:t xml:space="preserve">Swope, C. B., &amp; Hernández, D. (2019). Housing as a determinant of health equity: A conceptual model. </w:t>
      </w:r>
      <w:r w:rsidRPr="006A3DA3">
        <w:rPr>
          <w:rFonts w:eastAsia="Calibri" w:cs="Arial"/>
          <w:i/>
          <w:color w:val="212121"/>
          <w:sz w:val="20"/>
          <w:szCs w:val="20"/>
          <w:highlight w:val="white"/>
        </w:rPr>
        <w:t>Social science &amp; medicine (1982)</w:t>
      </w:r>
      <w:r w:rsidRPr="006A3DA3">
        <w:rPr>
          <w:rFonts w:eastAsia="Calibri" w:cs="Arial"/>
          <w:color w:val="212121"/>
          <w:sz w:val="20"/>
          <w:szCs w:val="20"/>
          <w:highlight w:val="white"/>
        </w:rPr>
        <w:t xml:space="preserve">, </w:t>
      </w:r>
      <w:r w:rsidRPr="006A3DA3">
        <w:rPr>
          <w:rFonts w:eastAsia="Calibri" w:cs="Arial"/>
          <w:i/>
          <w:color w:val="212121"/>
          <w:sz w:val="20"/>
          <w:szCs w:val="20"/>
          <w:highlight w:val="white"/>
        </w:rPr>
        <w:t>243</w:t>
      </w:r>
      <w:r w:rsidRPr="006A3DA3">
        <w:rPr>
          <w:rFonts w:eastAsia="Calibri" w:cs="Arial"/>
          <w:color w:val="212121"/>
          <w:sz w:val="20"/>
          <w:szCs w:val="20"/>
          <w:highlight w:val="white"/>
        </w:rPr>
        <w:t xml:space="preserve">, 112571. </w:t>
      </w:r>
      <w:hyperlink r:id="rId6">
        <w:r w:rsidRPr="006A3DA3">
          <w:rPr>
            <w:rFonts w:eastAsia="Calibri" w:cs="Arial"/>
            <w:color w:val="1155CC"/>
            <w:sz w:val="20"/>
            <w:szCs w:val="20"/>
            <w:highlight w:val="white"/>
            <w:u w:val="single"/>
          </w:rPr>
          <w:t>https://doi.org/10.1016/j.socscimed.2019.112571</w:t>
        </w:r>
      </w:hyperlink>
      <w:r w:rsidRPr="006A3DA3">
        <w:rPr>
          <w:rFonts w:eastAsia="Calibri" w:cs="Arial"/>
          <w:color w:val="212121"/>
          <w:sz w:val="20"/>
          <w:szCs w:val="20"/>
          <w:highlight w:val="white"/>
        </w:rPr>
        <w:t xml:space="preserve"> </w:t>
      </w:r>
    </w:p>
  </w:endnote>
  <w:endnote w:id="8">
    <w:p w14:paraId="7F1FD607" w14:textId="77777777" w:rsidR="00266D65" w:rsidRPr="006A3DA3" w:rsidRDefault="00266D65">
      <w:pPr>
        <w:spacing w:after="0" w:line="240" w:lineRule="auto"/>
        <w:rPr>
          <w:rFonts w:eastAsia="Calibri" w:cs="Arial"/>
          <w:sz w:val="20"/>
          <w:szCs w:val="20"/>
        </w:rPr>
      </w:pPr>
      <w:r w:rsidRPr="006A3DA3">
        <w:rPr>
          <w:rStyle w:val="EndnoteReference"/>
          <w:rFonts w:cs="Arial"/>
          <w:sz w:val="20"/>
          <w:szCs w:val="20"/>
        </w:rPr>
        <w:endnoteRef/>
      </w:r>
      <w:r w:rsidRPr="006A3DA3">
        <w:rPr>
          <w:rFonts w:cs="Arial"/>
          <w:sz w:val="20"/>
          <w:szCs w:val="20"/>
        </w:rPr>
        <w:t xml:space="preserve"> </w:t>
      </w:r>
      <w:proofErr w:type="spellStart"/>
      <w:r w:rsidRPr="006A3DA3">
        <w:rPr>
          <w:rFonts w:eastAsia="Calibri" w:cs="Arial"/>
          <w:color w:val="3A3A3A"/>
          <w:sz w:val="20"/>
          <w:szCs w:val="20"/>
          <w:highlight w:val="white"/>
        </w:rPr>
        <w:t>Ramzanpour</w:t>
      </w:r>
      <w:proofErr w:type="spellEnd"/>
      <w:r w:rsidRPr="006A3DA3">
        <w:rPr>
          <w:rFonts w:eastAsia="Calibri" w:cs="Arial"/>
          <w:color w:val="3A3A3A"/>
          <w:sz w:val="20"/>
          <w:szCs w:val="20"/>
          <w:highlight w:val="white"/>
        </w:rPr>
        <w:t xml:space="preserve">, M., </w:t>
      </w:r>
      <w:proofErr w:type="spellStart"/>
      <w:r w:rsidRPr="006A3DA3">
        <w:rPr>
          <w:rFonts w:eastAsia="Calibri" w:cs="Arial"/>
          <w:color w:val="3A3A3A"/>
          <w:sz w:val="20"/>
          <w:szCs w:val="20"/>
          <w:highlight w:val="white"/>
        </w:rPr>
        <w:t>Sharghi</w:t>
      </w:r>
      <w:proofErr w:type="spellEnd"/>
      <w:r w:rsidRPr="006A3DA3">
        <w:rPr>
          <w:rFonts w:eastAsia="Calibri" w:cs="Arial"/>
          <w:color w:val="3A3A3A"/>
          <w:sz w:val="20"/>
          <w:szCs w:val="20"/>
          <w:highlight w:val="white"/>
        </w:rPr>
        <w:t xml:space="preserve">, A., &amp; </w:t>
      </w:r>
      <w:proofErr w:type="spellStart"/>
      <w:r w:rsidRPr="006A3DA3">
        <w:rPr>
          <w:rFonts w:eastAsia="Calibri" w:cs="Arial"/>
          <w:color w:val="3A3A3A"/>
          <w:sz w:val="20"/>
          <w:szCs w:val="20"/>
          <w:highlight w:val="white"/>
        </w:rPr>
        <w:t>Nourtaghani</w:t>
      </w:r>
      <w:proofErr w:type="spellEnd"/>
      <w:r w:rsidRPr="006A3DA3">
        <w:rPr>
          <w:rFonts w:eastAsia="Calibri" w:cs="Arial"/>
          <w:color w:val="3A3A3A"/>
          <w:sz w:val="20"/>
          <w:szCs w:val="20"/>
          <w:highlight w:val="white"/>
        </w:rPr>
        <w:t xml:space="preserve">, A. (2023). Low-income housing stigma, results and outcomes: a systematic review. </w:t>
      </w:r>
      <w:r w:rsidRPr="006A3DA3">
        <w:rPr>
          <w:rFonts w:eastAsia="Calibri" w:cs="Arial"/>
          <w:i/>
          <w:color w:val="3A3A3A"/>
          <w:sz w:val="20"/>
          <w:szCs w:val="20"/>
          <w:highlight w:val="white"/>
        </w:rPr>
        <w:t>Journal of Housing and the Built Environment</w:t>
      </w:r>
      <w:r w:rsidRPr="006A3DA3">
        <w:rPr>
          <w:rFonts w:eastAsia="Calibri" w:cs="Arial"/>
          <w:color w:val="3A3A3A"/>
          <w:sz w:val="20"/>
          <w:szCs w:val="20"/>
          <w:highlight w:val="white"/>
        </w:rPr>
        <w:t xml:space="preserve">, </w:t>
      </w:r>
      <w:r w:rsidRPr="006A3DA3">
        <w:rPr>
          <w:rFonts w:eastAsia="Calibri" w:cs="Arial"/>
          <w:i/>
          <w:color w:val="3A3A3A"/>
          <w:sz w:val="20"/>
          <w:szCs w:val="20"/>
          <w:highlight w:val="white"/>
        </w:rPr>
        <w:t>38</w:t>
      </w:r>
      <w:r w:rsidRPr="006A3DA3">
        <w:rPr>
          <w:rFonts w:eastAsia="Calibri" w:cs="Arial"/>
          <w:color w:val="3A3A3A"/>
          <w:sz w:val="20"/>
          <w:szCs w:val="20"/>
          <w:highlight w:val="white"/>
        </w:rPr>
        <w:t xml:space="preserve">(2), 861–930. </w:t>
      </w:r>
      <w:hyperlink r:id="rId7">
        <w:r w:rsidRPr="006A3DA3">
          <w:rPr>
            <w:rFonts w:eastAsia="Calibri" w:cs="Arial"/>
            <w:color w:val="1155CC"/>
            <w:sz w:val="20"/>
            <w:szCs w:val="20"/>
            <w:highlight w:val="white"/>
            <w:u w:val="single"/>
          </w:rPr>
          <w:t>https://doi.org/10.1007/s10901-022-09967-9</w:t>
        </w:r>
      </w:hyperlink>
      <w:r w:rsidRPr="006A3DA3">
        <w:rPr>
          <w:rFonts w:eastAsia="Calibri" w:cs="Arial"/>
          <w:color w:val="3A3A3A"/>
          <w:sz w:val="20"/>
          <w:szCs w:val="20"/>
          <w:highlight w:val="white"/>
        </w:rPr>
        <w:t xml:space="preserve"> </w:t>
      </w:r>
    </w:p>
  </w:endnote>
  <w:endnote w:id="9">
    <w:p w14:paraId="7F1FD608" w14:textId="77777777" w:rsidR="00266D65" w:rsidRPr="006A3DA3" w:rsidRDefault="00266D65">
      <w:pPr>
        <w:pBdr>
          <w:top w:val="nil"/>
          <w:left w:val="nil"/>
          <w:bottom w:val="nil"/>
          <w:right w:val="nil"/>
          <w:between w:val="nil"/>
        </w:pBdr>
        <w:spacing w:after="0" w:line="240" w:lineRule="auto"/>
        <w:rPr>
          <w:rFonts w:eastAsia="Calibri" w:cs="Arial"/>
          <w:color w:val="000000"/>
          <w:sz w:val="20"/>
          <w:szCs w:val="20"/>
        </w:rPr>
      </w:pPr>
      <w:r w:rsidRPr="006A3DA3">
        <w:rPr>
          <w:rStyle w:val="EndnoteReference"/>
          <w:rFonts w:cs="Arial"/>
          <w:sz w:val="20"/>
          <w:szCs w:val="20"/>
        </w:rPr>
        <w:endnoteRef/>
      </w:r>
      <w:r w:rsidRPr="006A3DA3">
        <w:rPr>
          <w:rFonts w:cs="Arial"/>
          <w:color w:val="000000"/>
          <w:sz w:val="20"/>
          <w:szCs w:val="20"/>
        </w:rPr>
        <w:t xml:space="preserve"> </w:t>
      </w:r>
      <w:r w:rsidRPr="006A3DA3">
        <w:rPr>
          <w:rFonts w:eastAsia="Calibri" w:cs="Arial"/>
          <w:color w:val="212121"/>
          <w:sz w:val="20"/>
          <w:szCs w:val="20"/>
          <w:highlight w:val="white"/>
        </w:rPr>
        <w:t xml:space="preserve">Swope, C. B., &amp; Hernández, D. (2019). Housing as a determinant of health equity: A conceptual model. </w:t>
      </w:r>
      <w:r w:rsidRPr="006A3DA3">
        <w:rPr>
          <w:rFonts w:eastAsia="Calibri" w:cs="Arial"/>
          <w:i/>
          <w:color w:val="212121"/>
          <w:sz w:val="20"/>
          <w:szCs w:val="20"/>
          <w:highlight w:val="white"/>
        </w:rPr>
        <w:t>Social science &amp; medicine (1982)</w:t>
      </w:r>
      <w:r w:rsidRPr="006A3DA3">
        <w:rPr>
          <w:rFonts w:eastAsia="Calibri" w:cs="Arial"/>
          <w:color w:val="212121"/>
          <w:sz w:val="20"/>
          <w:szCs w:val="20"/>
          <w:highlight w:val="white"/>
        </w:rPr>
        <w:t xml:space="preserve">, </w:t>
      </w:r>
      <w:r w:rsidRPr="006A3DA3">
        <w:rPr>
          <w:rFonts w:eastAsia="Calibri" w:cs="Arial"/>
          <w:i/>
          <w:color w:val="212121"/>
          <w:sz w:val="20"/>
          <w:szCs w:val="20"/>
          <w:highlight w:val="white"/>
        </w:rPr>
        <w:t>243</w:t>
      </w:r>
      <w:r w:rsidRPr="006A3DA3">
        <w:rPr>
          <w:rFonts w:eastAsia="Calibri" w:cs="Arial"/>
          <w:color w:val="212121"/>
          <w:sz w:val="20"/>
          <w:szCs w:val="20"/>
          <w:highlight w:val="white"/>
        </w:rPr>
        <w:t xml:space="preserve">, 112571. </w:t>
      </w:r>
      <w:hyperlink r:id="rId8">
        <w:r w:rsidRPr="006A3DA3">
          <w:rPr>
            <w:rFonts w:eastAsia="Calibri" w:cs="Arial"/>
            <w:color w:val="1155CC"/>
            <w:sz w:val="20"/>
            <w:szCs w:val="20"/>
            <w:highlight w:val="white"/>
            <w:u w:val="single"/>
          </w:rPr>
          <w:t>https://doi.org/10.1016/j.socscimed.2019.112571</w:t>
        </w:r>
      </w:hyperlink>
      <w:r w:rsidRPr="006A3DA3">
        <w:rPr>
          <w:rFonts w:eastAsia="Calibri" w:cs="Arial"/>
          <w:sz w:val="20"/>
          <w:szCs w:val="20"/>
        </w:rPr>
        <w:t xml:space="preserve">; </w:t>
      </w:r>
      <w:r w:rsidRPr="006A3DA3">
        <w:rPr>
          <w:rFonts w:eastAsia="Calibri" w:cs="Arial"/>
          <w:color w:val="212121"/>
          <w:sz w:val="20"/>
          <w:szCs w:val="20"/>
          <w:highlight w:val="white"/>
        </w:rPr>
        <w:t xml:space="preserve">Gibson, M., Petticrew, M., Bambra, C., Sowden, A. J., Wright, K. E., &amp; Whitehead, M. (2011). Housing and health inequalities: a synthesis of systematic reviews of interventions aimed at different pathways linking housing and health. </w:t>
      </w:r>
      <w:r w:rsidRPr="006A3DA3">
        <w:rPr>
          <w:rFonts w:eastAsia="Calibri" w:cs="Arial"/>
          <w:i/>
          <w:color w:val="212121"/>
          <w:sz w:val="20"/>
          <w:szCs w:val="20"/>
          <w:highlight w:val="white"/>
        </w:rPr>
        <w:t>Health &amp; place</w:t>
      </w:r>
      <w:r w:rsidRPr="006A3DA3">
        <w:rPr>
          <w:rFonts w:eastAsia="Calibri" w:cs="Arial"/>
          <w:color w:val="212121"/>
          <w:sz w:val="20"/>
          <w:szCs w:val="20"/>
          <w:highlight w:val="white"/>
        </w:rPr>
        <w:t xml:space="preserve">, </w:t>
      </w:r>
      <w:r w:rsidRPr="006A3DA3">
        <w:rPr>
          <w:rFonts w:eastAsia="Calibri" w:cs="Arial"/>
          <w:i/>
          <w:color w:val="212121"/>
          <w:sz w:val="20"/>
          <w:szCs w:val="20"/>
          <w:highlight w:val="white"/>
        </w:rPr>
        <w:t>17</w:t>
      </w:r>
      <w:r w:rsidRPr="006A3DA3">
        <w:rPr>
          <w:rFonts w:eastAsia="Calibri" w:cs="Arial"/>
          <w:color w:val="212121"/>
          <w:sz w:val="20"/>
          <w:szCs w:val="20"/>
          <w:highlight w:val="white"/>
        </w:rPr>
        <w:t xml:space="preserve">(1), 175–184. </w:t>
      </w:r>
      <w:hyperlink r:id="rId9">
        <w:r w:rsidRPr="006A3DA3">
          <w:rPr>
            <w:rFonts w:eastAsia="Calibri" w:cs="Arial"/>
            <w:color w:val="1155CC"/>
            <w:sz w:val="20"/>
            <w:szCs w:val="20"/>
            <w:highlight w:val="white"/>
            <w:u w:val="single"/>
          </w:rPr>
          <w:t>https://doi.org/10.1016/j.healthplace.2010.09.011</w:t>
        </w:r>
      </w:hyperlink>
      <w:r w:rsidRPr="006A3DA3">
        <w:rPr>
          <w:rFonts w:eastAsia="Calibri" w:cs="Arial"/>
          <w:color w:val="212121"/>
          <w:sz w:val="20"/>
          <w:szCs w:val="20"/>
          <w:highlight w:val="white"/>
        </w:rPr>
        <w:t xml:space="preserve"> </w:t>
      </w:r>
    </w:p>
  </w:endnote>
  <w:endnote w:id="10">
    <w:p w14:paraId="7F1FD609" w14:textId="77777777" w:rsidR="00266D65" w:rsidRDefault="00266D65">
      <w:pPr>
        <w:pBdr>
          <w:top w:val="nil"/>
          <w:left w:val="nil"/>
          <w:bottom w:val="nil"/>
          <w:right w:val="nil"/>
          <w:between w:val="nil"/>
        </w:pBdr>
        <w:spacing w:after="0" w:line="240" w:lineRule="auto"/>
        <w:rPr>
          <w:rFonts w:ascii="Calibri" w:eastAsia="Calibri" w:hAnsi="Calibri" w:cs="Calibri"/>
          <w:color w:val="000000"/>
          <w:sz w:val="20"/>
          <w:szCs w:val="20"/>
        </w:rPr>
      </w:pPr>
      <w:r w:rsidRPr="006A3DA3">
        <w:rPr>
          <w:rStyle w:val="EndnoteReference"/>
          <w:rFonts w:cs="Arial"/>
          <w:sz w:val="20"/>
          <w:szCs w:val="20"/>
        </w:rPr>
        <w:endnoteRef/>
      </w:r>
      <w:r w:rsidRPr="006A3DA3">
        <w:rPr>
          <w:rFonts w:cs="Arial"/>
          <w:color w:val="000000"/>
          <w:sz w:val="20"/>
          <w:szCs w:val="20"/>
        </w:rPr>
        <w:t xml:space="preserve"> </w:t>
      </w:r>
      <w:r w:rsidRPr="006A3DA3">
        <w:rPr>
          <w:rFonts w:eastAsia="Calibri" w:cs="Arial"/>
          <w:color w:val="212121"/>
          <w:sz w:val="20"/>
          <w:szCs w:val="20"/>
          <w:highlight w:val="white"/>
        </w:rPr>
        <w:t xml:space="preserve">Swope, C. B., &amp; Hernández, D. (2019). Housing as a determinant of health equity: A conceptual model. </w:t>
      </w:r>
      <w:r w:rsidRPr="006A3DA3">
        <w:rPr>
          <w:rFonts w:eastAsia="Calibri" w:cs="Arial"/>
          <w:i/>
          <w:color w:val="212121"/>
          <w:sz w:val="20"/>
          <w:szCs w:val="20"/>
          <w:highlight w:val="white"/>
        </w:rPr>
        <w:t>Social science &amp; medicine (1982)</w:t>
      </w:r>
      <w:r w:rsidRPr="006A3DA3">
        <w:rPr>
          <w:rFonts w:eastAsia="Calibri" w:cs="Arial"/>
          <w:color w:val="212121"/>
          <w:sz w:val="20"/>
          <w:szCs w:val="20"/>
          <w:highlight w:val="white"/>
        </w:rPr>
        <w:t xml:space="preserve">, </w:t>
      </w:r>
      <w:r w:rsidRPr="006A3DA3">
        <w:rPr>
          <w:rFonts w:eastAsia="Calibri" w:cs="Arial"/>
          <w:i/>
          <w:color w:val="212121"/>
          <w:sz w:val="20"/>
          <w:szCs w:val="20"/>
          <w:highlight w:val="white"/>
        </w:rPr>
        <w:t>243</w:t>
      </w:r>
      <w:r w:rsidRPr="006A3DA3">
        <w:rPr>
          <w:rFonts w:eastAsia="Calibri" w:cs="Arial"/>
          <w:color w:val="212121"/>
          <w:sz w:val="20"/>
          <w:szCs w:val="20"/>
          <w:highlight w:val="white"/>
        </w:rPr>
        <w:t xml:space="preserve">, 112571. </w:t>
      </w:r>
      <w:hyperlink r:id="rId10">
        <w:r w:rsidRPr="006A3DA3">
          <w:rPr>
            <w:rFonts w:eastAsia="Calibri" w:cs="Arial"/>
            <w:color w:val="1155CC"/>
            <w:sz w:val="20"/>
            <w:szCs w:val="20"/>
            <w:highlight w:val="white"/>
            <w:u w:val="single"/>
          </w:rPr>
          <w:t>https://doi.org/10.1016/j.socscimed.2019.112571</w:t>
        </w:r>
      </w:hyperlink>
      <w:r w:rsidRPr="006A3DA3">
        <w:rPr>
          <w:rFonts w:eastAsia="Calibri" w:cs="Arial"/>
          <w:color w:val="212121"/>
          <w:sz w:val="20"/>
          <w:szCs w:val="20"/>
          <w:highlight w:val="white"/>
        </w:rPr>
        <w:t xml:space="preserve"> </w:t>
      </w:r>
    </w:p>
  </w:endnote>
  <w:endnote w:id="11">
    <w:p w14:paraId="7F1FD60A" w14:textId="77777777" w:rsidR="00266D65" w:rsidRPr="00FA41A9" w:rsidRDefault="00266D65">
      <w:pPr>
        <w:spacing w:after="0" w:line="240" w:lineRule="auto"/>
        <w:rPr>
          <w:rFonts w:eastAsia="Calibri" w:cs="Arial"/>
          <w:sz w:val="20"/>
          <w:szCs w:val="20"/>
        </w:rPr>
      </w:pPr>
      <w:r w:rsidRPr="00FA41A9">
        <w:rPr>
          <w:rStyle w:val="EndnoteReference"/>
          <w:rFonts w:cs="Arial"/>
        </w:rPr>
        <w:endnoteRef/>
      </w:r>
      <w:r w:rsidRPr="0016459F">
        <w:rPr>
          <w:rFonts w:cs="Arial"/>
          <w:sz w:val="20"/>
          <w:szCs w:val="20"/>
        </w:rPr>
        <w:t xml:space="preserve"> </w:t>
      </w:r>
      <w:r w:rsidRPr="0016459F">
        <w:rPr>
          <w:rFonts w:eastAsia="Calibri" w:cs="Arial"/>
          <w:color w:val="333333"/>
          <w:sz w:val="20"/>
          <w:szCs w:val="20"/>
          <w:highlight w:val="white"/>
        </w:rPr>
        <w:t xml:space="preserve">Rolfe, S., Garnham, L., Godwin, J. </w:t>
      </w:r>
      <w:r w:rsidRPr="0016459F">
        <w:rPr>
          <w:rFonts w:eastAsia="Calibri" w:cs="Arial"/>
          <w:i/>
          <w:color w:val="333333"/>
          <w:sz w:val="20"/>
          <w:szCs w:val="20"/>
          <w:highlight w:val="white"/>
        </w:rPr>
        <w:t>et al.</w:t>
      </w:r>
      <w:r w:rsidRPr="0016459F">
        <w:rPr>
          <w:rFonts w:eastAsia="Calibri" w:cs="Arial"/>
          <w:color w:val="333333"/>
          <w:sz w:val="20"/>
          <w:szCs w:val="20"/>
          <w:highlight w:val="white"/>
        </w:rPr>
        <w:t xml:space="preserve"> </w:t>
      </w:r>
      <w:r w:rsidRPr="00FA41A9">
        <w:rPr>
          <w:rFonts w:eastAsia="Calibri" w:cs="Arial"/>
          <w:color w:val="333333"/>
          <w:sz w:val="20"/>
          <w:szCs w:val="20"/>
          <w:highlight w:val="white"/>
        </w:rPr>
        <w:t xml:space="preserve">Housing as a social determinant of health and wellbeing: developing an </w:t>
      </w:r>
      <w:proofErr w:type="gramStart"/>
      <w:r w:rsidRPr="00FA41A9">
        <w:rPr>
          <w:rFonts w:eastAsia="Calibri" w:cs="Arial"/>
          <w:color w:val="333333"/>
          <w:sz w:val="20"/>
          <w:szCs w:val="20"/>
          <w:highlight w:val="white"/>
        </w:rPr>
        <w:t>empirically-informed</w:t>
      </w:r>
      <w:proofErr w:type="gramEnd"/>
      <w:r w:rsidRPr="00FA41A9">
        <w:rPr>
          <w:rFonts w:eastAsia="Calibri" w:cs="Arial"/>
          <w:color w:val="333333"/>
          <w:sz w:val="20"/>
          <w:szCs w:val="20"/>
          <w:highlight w:val="white"/>
        </w:rPr>
        <w:t xml:space="preserve"> realist theoretical framework. </w:t>
      </w:r>
      <w:r w:rsidRPr="00FA41A9">
        <w:rPr>
          <w:rFonts w:eastAsia="Calibri" w:cs="Arial"/>
          <w:i/>
          <w:color w:val="333333"/>
          <w:sz w:val="20"/>
          <w:szCs w:val="20"/>
          <w:highlight w:val="white"/>
        </w:rPr>
        <w:t>BMC Public Health</w:t>
      </w:r>
      <w:r w:rsidRPr="00FA41A9">
        <w:rPr>
          <w:rFonts w:eastAsia="Calibri" w:cs="Arial"/>
          <w:color w:val="333333"/>
          <w:sz w:val="20"/>
          <w:szCs w:val="20"/>
          <w:highlight w:val="white"/>
        </w:rPr>
        <w:t xml:space="preserve"> 20, 1138 (2020). </w:t>
      </w:r>
      <w:hyperlink r:id="rId11">
        <w:r w:rsidRPr="00FA41A9">
          <w:rPr>
            <w:rFonts w:eastAsia="Calibri" w:cs="Arial"/>
            <w:color w:val="1155CC"/>
            <w:sz w:val="20"/>
            <w:szCs w:val="20"/>
            <w:highlight w:val="white"/>
            <w:u w:val="single"/>
          </w:rPr>
          <w:t>https://doi.org/10.1186/s12889-020-09224-0</w:t>
        </w:r>
      </w:hyperlink>
      <w:r w:rsidRPr="00FA41A9">
        <w:rPr>
          <w:rFonts w:eastAsia="Calibri" w:cs="Arial"/>
          <w:color w:val="333333"/>
          <w:sz w:val="20"/>
          <w:szCs w:val="20"/>
          <w:highlight w:val="white"/>
        </w:rPr>
        <w:t xml:space="preserve"> </w:t>
      </w:r>
    </w:p>
  </w:endnote>
  <w:endnote w:id="12">
    <w:p w14:paraId="7F1FD60B" w14:textId="77777777" w:rsidR="00266D65" w:rsidRPr="00FA41A9" w:rsidRDefault="00266D65">
      <w:pPr>
        <w:spacing w:after="0" w:line="240" w:lineRule="auto"/>
        <w:rPr>
          <w:rFonts w:eastAsia="Calibri" w:cs="Arial"/>
          <w:sz w:val="20"/>
          <w:szCs w:val="20"/>
        </w:rPr>
      </w:pPr>
      <w:r w:rsidRPr="00FA41A9">
        <w:rPr>
          <w:rStyle w:val="EndnoteReference"/>
          <w:rFonts w:cs="Arial"/>
        </w:rPr>
        <w:endnoteRef/>
      </w:r>
      <w:r w:rsidRPr="00FA41A9">
        <w:rPr>
          <w:rFonts w:cs="Arial"/>
          <w:sz w:val="20"/>
          <w:szCs w:val="20"/>
        </w:rPr>
        <w:t xml:space="preserve"> </w:t>
      </w:r>
      <w:r w:rsidRPr="00FA41A9">
        <w:rPr>
          <w:rFonts w:eastAsia="Calibri" w:cs="Arial"/>
          <w:sz w:val="20"/>
          <w:szCs w:val="20"/>
        </w:rPr>
        <w:t xml:space="preserve">Thompson, H, and Thomas, S. Developing empirically supported theories of change for housing investment and health. </w:t>
      </w:r>
      <w:r w:rsidRPr="00FA41A9">
        <w:rPr>
          <w:rFonts w:eastAsia="Calibri" w:cs="Arial"/>
          <w:i/>
          <w:sz w:val="20"/>
          <w:szCs w:val="20"/>
        </w:rPr>
        <w:t xml:space="preserve">Social Science and Medicine (2015) </w:t>
      </w:r>
      <w:hyperlink r:id="rId12">
        <w:r w:rsidRPr="00FA41A9">
          <w:rPr>
            <w:rFonts w:eastAsia="Calibri" w:cs="Arial"/>
            <w:color w:val="1155CC"/>
            <w:sz w:val="20"/>
            <w:szCs w:val="20"/>
            <w:u w:val="single"/>
          </w:rPr>
          <w:t>https://doi.org/10.1016/j.socscimed.2014.11.043</w:t>
        </w:r>
      </w:hyperlink>
      <w:r w:rsidRPr="00FA41A9">
        <w:rPr>
          <w:rFonts w:cs="Arial"/>
          <w:sz w:val="20"/>
          <w:szCs w:val="20"/>
        </w:rPr>
        <w:t xml:space="preserve">; </w:t>
      </w:r>
      <w:r w:rsidRPr="00FA41A9">
        <w:rPr>
          <w:rFonts w:eastAsia="Calibri" w:cs="Arial"/>
          <w:color w:val="212121"/>
          <w:sz w:val="20"/>
          <w:szCs w:val="20"/>
          <w:highlight w:val="white"/>
        </w:rPr>
        <w:t xml:space="preserve">Singh, A., Daniel, L., Baker, E., &amp; Bentley, R. (2019). Housing Disadvantage and Poor Mental Health: A Systematic Review. </w:t>
      </w:r>
      <w:r w:rsidRPr="00FA41A9">
        <w:rPr>
          <w:rFonts w:eastAsia="Calibri" w:cs="Arial"/>
          <w:i/>
          <w:color w:val="212121"/>
          <w:sz w:val="20"/>
          <w:szCs w:val="20"/>
          <w:highlight w:val="white"/>
        </w:rPr>
        <w:t>American journal of preventive medicine</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57</w:t>
      </w:r>
      <w:r w:rsidRPr="00FA41A9">
        <w:rPr>
          <w:rFonts w:eastAsia="Calibri" w:cs="Arial"/>
          <w:color w:val="212121"/>
          <w:sz w:val="20"/>
          <w:szCs w:val="20"/>
          <w:highlight w:val="white"/>
        </w:rPr>
        <w:t xml:space="preserve">(2), 262–272. </w:t>
      </w:r>
      <w:hyperlink r:id="rId13">
        <w:r w:rsidRPr="00FA41A9">
          <w:rPr>
            <w:rFonts w:eastAsia="Calibri" w:cs="Arial"/>
            <w:color w:val="1155CC"/>
            <w:sz w:val="20"/>
            <w:szCs w:val="20"/>
            <w:highlight w:val="white"/>
            <w:u w:val="single"/>
          </w:rPr>
          <w:t>https://doi.org/10.1016/j.amepre.2019.03.018</w:t>
        </w:r>
      </w:hyperlink>
      <w:r w:rsidRPr="00FA41A9">
        <w:rPr>
          <w:rFonts w:eastAsia="Calibri" w:cs="Arial"/>
          <w:sz w:val="20"/>
          <w:szCs w:val="20"/>
        </w:rPr>
        <w:t>; G</w:t>
      </w:r>
      <w:r w:rsidRPr="00FA41A9">
        <w:rPr>
          <w:rFonts w:eastAsia="Calibri" w:cs="Arial"/>
          <w:color w:val="212121"/>
          <w:sz w:val="20"/>
          <w:szCs w:val="20"/>
          <w:highlight w:val="white"/>
        </w:rPr>
        <w:t xml:space="preserve">ibson, M., Petticrew, M., Bambra, C., Sowden, A. J., Wright, K. E., &amp; Whitehead, M. (2011). Housing and health inequalities: a synthesis of systematic reviews of interventions aimed at different pathways linking housing and health. </w:t>
      </w:r>
      <w:r w:rsidRPr="00FA41A9">
        <w:rPr>
          <w:rFonts w:eastAsia="Calibri" w:cs="Arial"/>
          <w:i/>
          <w:color w:val="212121"/>
          <w:sz w:val="20"/>
          <w:szCs w:val="20"/>
          <w:highlight w:val="white"/>
        </w:rPr>
        <w:t>Health &amp; place</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17</w:t>
      </w:r>
      <w:r w:rsidRPr="00FA41A9">
        <w:rPr>
          <w:rFonts w:eastAsia="Calibri" w:cs="Arial"/>
          <w:color w:val="212121"/>
          <w:sz w:val="20"/>
          <w:szCs w:val="20"/>
          <w:highlight w:val="white"/>
        </w:rPr>
        <w:t xml:space="preserve">(1), 175–184. </w:t>
      </w:r>
      <w:hyperlink r:id="rId14">
        <w:r w:rsidRPr="00FA41A9">
          <w:rPr>
            <w:rFonts w:eastAsia="Calibri" w:cs="Arial"/>
            <w:color w:val="1155CC"/>
            <w:sz w:val="20"/>
            <w:szCs w:val="20"/>
            <w:highlight w:val="white"/>
            <w:u w:val="single"/>
          </w:rPr>
          <w:t>https://doi.org/10.1016/j.healthplace.2010.09.011</w:t>
        </w:r>
      </w:hyperlink>
      <w:r w:rsidRPr="00FA41A9">
        <w:rPr>
          <w:rFonts w:cs="Arial"/>
          <w:sz w:val="20"/>
          <w:szCs w:val="20"/>
        </w:rPr>
        <w:t xml:space="preserve">; </w:t>
      </w:r>
      <w:r w:rsidRPr="00FA41A9">
        <w:rPr>
          <w:rFonts w:eastAsia="Calibri" w:cs="Arial"/>
          <w:color w:val="212121"/>
          <w:sz w:val="20"/>
          <w:szCs w:val="20"/>
          <w:highlight w:val="white"/>
        </w:rPr>
        <w:t xml:space="preserve">Ige, J., Pilkington, P., Orme, J., Williams, B., Prestwood, E., Black, D., Carmichael, L., &amp; Scally, G. (2019). The relationship between buildings and health: a systematic review. </w:t>
      </w:r>
      <w:r w:rsidRPr="00FA41A9">
        <w:rPr>
          <w:rFonts w:eastAsia="Calibri" w:cs="Arial"/>
          <w:i/>
          <w:color w:val="212121"/>
          <w:sz w:val="20"/>
          <w:szCs w:val="20"/>
          <w:highlight w:val="white"/>
        </w:rPr>
        <w:t>Journal of public health (Oxford, England)</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41</w:t>
      </w:r>
      <w:r w:rsidRPr="00FA41A9">
        <w:rPr>
          <w:rFonts w:eastAsia="Calibri" w:cs="Arial"/>
          <w:color w:val="212121"/>
          <w:sz w:val="20"/>
          <w:szCs w:val="20"/>
          <w:highlight w:val="white"/>
        </w:rPr>
        <w:t xml:space="preserve">(2), e121–e132. </w:t>
      </w:r>
      <w:hyperlink r:id="rId15">
        <w:r w:rsidRPr="00FA41A9">
          <w:rPr>
            <w:rFonts w:eastAsia="Calibri" w:cs="Arial"/>
            <w:color w:val="1155CC"/>
            <w:sz w:val="20"/>
            <w:szCs w:val="20"/>
            <w:highlight w:val="white"/>
            <w:u w:val="single"/>
          </w:rPr>
          <w:t>https://doi.org/10.1093/pubmed/fdy138</w:t>
        </w:r>
      </w:hyperlink>
      <w:r w:rsidRPr="00FA41A9">
        <w:rPr>
          <w:rFonts w:eastAsia="Calibri" w:cs="Arial"/>
          <w:color w:val="212121"/>
          <w:sz w:val="20"/>
          <w:szCs w:val="20"/>
          <w:highlight w:val="white"/>
        </w:rPr>
        <w:t>;</w:t>
      </w:r>
      <w:r w:rsidRPr="00FA41A9">
        <w:rPr>
          <w:rFonts w:eastAsia="Roboto" w:cs="Arial"/>
          <w:color w:val="212121"/>
          <w:highlight w:val="white"/>
        </w:rPr>
        <w:t xml:space="preserve"> </w:t>
      </w:r>
      <w:r w:rsidRPr="00FA41A9">
        <w:rPr>
          <w:rFonts w:eastAsia="Calibri" w:cs="Arial"/>
          <w:color w:val="212121"/>
          <w:sz w:val="20"/>
          <w:szCs w:val="20"/>
          <w:highlight w:val="white"/>
        </w:rPr>
        <w:t xml:space="preserve">Thomson, H., Thomas, S., Sellstrom, E., &amp; Petticrew, M. (2013). Housing improvements for health and associated socio-economic outcomes. </w:t>
      </w:r>
      <w:r w:rsidRPr="00FA41A9">
        <w:rPr>
          <w:rFonts w:eastAsia="Calibri" w:cs="Arial"/>
          <w:i/>
          <w:color w:val="212121"/>
          <w:sz w:val="20"/>
          <w:szCs w:val="20"/>
          <w:highlight w:val="white"/>
        </w:rPr>
        <w:t>The Cochrane database of systematic reviews</w:t>
      </w:r>
      <w:r w:rsidRPr="00FA41A9">
        <w:rPr>
          <w:rFonts w:eastAsia="Calibri" w:cs="Arial"/>
          <w:color w:val="212121"/>
          <w:sz w:val="20"/>
          <w:szCs w:val="20"/>
          <w:highlight w:val="white"/>
        </w:rPr>
        <w:t xml:space="preserve">, (2), CD008657. </w:t>
      </w:r>
      <w:hyperlink r:id="rId16">
        <w:r w:rsidRPr="00FA41A9">
          <w:rPr>
            <w:rFonts w:eastAsia="Calibri" w:cs="Arial"/>
            <w:color w:val="1155CC"/>
            <w:sz w:val="20"/>
            <w:szCs w:val="20"/>
            <w:highlight w:val="white"/>
            <w:u w:val="single"/>
          </w:rPr>
          <w:t>https://doi.org/10.1002/14651858.CD008657.pub2</w:t>
        </w:r>
      </w:hyperlink>
      <w:r w:rsidRPr="00FA41A9">
        <w:rPr>
          <w:rFonts w:eastAsia="Calibri" w:cs="Arial"/>
          <w:color w:val="212121"/>
          <w:sz w:val="20"/>
          <w:szCs w:val="20"/>
          <w:highlight w:val="white"/>
        </w:rPr>
        <w:t xml:space="preserve"> </w:t>
      </w:r>
    </w:p>
  </w:endnote>
  <w:endnote w:id="13">
    <w:p w14:paraId="7F1FD60C" w14:textId="77777777" w:rsidR="00266D65" w:rsidRPr="00FA41A9" w:rsidRDefault="00266D65">
      <w:pPr>
        <w:pBdr>
          <w:top w:val="nil"/>
          <w:left w:val="nil"/>
          <w:bottom w:val="nil"/>
          <w:right w:val="nil"/>
          <w:between w:val="nil"/>
        </w:pBdr>
        <w:spacing w:after="0" w:line="240" w:lineRule="auto"/>
        <w:rPr>
          <w:rFonts w:cs="Arial"/>
          <w:color w:val="000000"/>
          <w:sz w:val="20"/>
          <w:szCs w:val="20"/>
        </w:rPr>
      </w:pPr>
      <w:r w:rsidRPr="00FA41A9">
        <w:rPr>
          <w:rStyle w:val="EndnoteReference"/>
          <w:rFonts w:cs="Arial"/>
        </w:rPr>
        <w:endnoteRef/>
      </w:r>
      <w:r w:rsidRPr="00FA41A9">
        <w:rPr>
          <w:rFonts w:cs="Arial"/>
          <w:color w:val="000000"/>
          <w:sz w:val="20"/>
          <w:szCs w:val="20"/>
        </w:rPr>
        <w:t xml:space="preserve"> </w:t>
      </w:r>
      <w:r w:rsidRPr="00FA41A9">
        <w:rPr>
          <w:rFonts w:eastAsia="Calibri" w:cs="Arial"/>
          <w:color w:val="212121"/>
          <w:sz w:val="20"/>
          <w:szCs w:val="20"/>
          <w:highlight w:val="white"/>
        </w:rPr>
        <w:t xml:space="preserve">Swope, C. B., &amp; Hernández, D. (2019). Housing as a determinant of health equity: A conceptual model. </w:t>
      </w:r>
      <w:r w:rsidRPr="00FA41A9">
        <w:rPr>
          <w:rFonts w:eastAsia="Calibri" w:cs="Arial"/>
          <w:i/>
          <w:color w:val="212121"/>
          <w:sz w:val="20"/>
          <w:szCs w:val="20"/>
          <w:highlight w:val="white"/>
        </w:rPr>
        <w:t>Social science &amp; medicine (1982)</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243</w:t>
      </w:r>
      <w:r w:rsidRPr="00FA41A9">
        <w:rPr>
          <w:rFonts w:eastAsia="Calibri" w:cs="Arial"/>
          <w:color w:val="212121"/>
          <w:sz w:val="20"/>
          <w:szCs w:val="20"/>
          <w:highlight w:val="white"/>
        </w:rPr>
        <w:t xml:space="preserve">, 112571. </w:t>
      </w:r>
      <w:hyperlink r:id="rId17">
        <w:r w:rsidRPr="00FA41A9">
          <w:rPr>
            <w:rFonts w:eastAsia="Calibri" w:cs="Arial"/>
            <w:color w:val="1155CC"/>
            <w:sz w:val="20"/>
            <w:szCs w:val="20"/>
            <w:highlight w:val="white"/>
            <w:u w:val="single"/>
          </w:rPr>
          <w:t>https://doi.org/10.1016/j.socscimed.2019.112571</w:t>
        </w:r>
      </w:hyperlink>
      <w:r w:rsidRPr="00FA41A9">
        <w:rPr>
          <w:rFonts w:eastAsia="Calibri" w:cs="Arial"/>
          <w:sz w:val="20"/>
          <w:szCs w:val="20"/>
        </w:rPr>
        <w:t>;</w:t>
      </w:r>
      <w:r w:rsidRPr="00FA41A9">
        <w:rPr>
          <w:rFonts w:eastAsia="Calibri" w:cs="Arial"/>
          <w:color w:val="000000"/>
          <w:sz w:val="20"/>
          <w:szCs w:val="20"/>
        </w:rPr>
        <w:t xml:space="preserve"> </w:t>
      </w:r>
      <w:r w:rsidRPr="00FA41A9">
        <w:rPr>
          <w:rFonts w:eastAsia="Calibri" w:cs="Arial"/>
          <w:sz w:val="20"/>
          <w:szCs w:val="20"/>
        </w:rPr>
        <w:t xml:space="preserve">Thompson, H, and Thomas, S. Developing empirically supported theories of change for housing investment and health. </w:t>
      </w:r>
      <w:r w:rsidRPr="00FA41A9">
        <w:rPr>
          <w:rFonts w:eastAsia="Calibri" w:cs="Arial"/>
          <w:i/>
          <w:sz w:val="20"/>
          <w:szCs w:val="20"/>
        </w:rPr>
        <w:t xml:space="preserve">Social Science and Medicine (2015) </w:t>
      </w:r>
      <w:hyperlink r:id="rId18">
        <w:r w:rsidRPr="00FA41A9">
          <w:rPr>
            <w:rFonts w:eastAsia="Calibri" w:cs="Arial"/>
            <w:color w:val="1155CC"/>
            <w:sz w:val="20"/>
            <w:szCs w:val="20"/>
            <w:u w:val="single"/>
          </w:rPr>
          <w:t>https://doi.org/10.1016/j.socscimed.2014.11.043</w:t>
        </w:r>
      </w:hyperlink>
      <w:r w:rsidRPr="00FA41A9">
        <w:rPr>
          <w:rFonts w:cs="Arial"/>
          <w:sz w:val="20"/>
          <w:szCs w:val="20"/>
        </w:rPr>
        <w:t xml:space="preserve">; </w:t>
      </w:r>
      <w:r w:rsidRPr="00FA41A9">
        <w:rPr>
          <w:rFonts w:eastAsia="Calibri" w:cs="Arial"/>
          <w:sz w:val="20"/>
          <w:szCs w:val="20"/>
        </w:rPr>
        <w:t>G</w:t>
      </w:r>
      <w:r w:rsidRPr="00FA41A9">
        <w:rPr>
          <w:rFonts w:eastAsia="Calibri" w:cs="Arial"/>
          <w:color w:val="212121"/>
          <w:sz w:val="20"/>
          <w:szCs w:val="20"/>
          <w:highlight w:val="white"/>
        </w:rPr>
        <w:t xml:space="preserve">ibson, M., Petticrew, M., Bambra, C., Sowden, A. J., Wright, K. E., &amp; Whitehead, M. (2011). Housing and health inequalities: a synthesis of systematic reviews of interventions aimed at different pathways linking housing and health. </w:t>
      </w:r>
      <w:r w:rsidRPr="00FA41A9">
        <w:rPr>
          <w:rFonts w:eastAsia="Calibri" w:cs="Arial"/>
          <w:i/>
          <w:color w:val="212121"/>
          <w:sz w:val="20"/>
          <w:szCs w:val="20"/>
          <w:highlight w:val="white"/>
        </w:rPr>
        <w:t>Health &amp; place</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17</w:t>
      </w:r>
      <w:r w:rsidRPr="00FA41A9">
        <w:rPr>
          <w:rFonts w:eastAsia="Calibri" w:cs="Arial"/>
          <w:color w:val="212121"/>
          <w:sz w:val="20"/>
          <w:szCs w:val="20"/>
          <w:highlight w:val="white"/>
        </w:rPr>
        <w:t xml:space="preserve">(1), 175–184. </w:t>
      </w:r>
      <w:hyperlink r:id="rId19">
        <w:r w:rsidRPr="00FA41A9">
          <w:rPr>
            <w:rFonts w:eastAsia="Calibri" w:cs="Arial"/>
            <w:color w:val="1155CC"/>
            <w:sz w:val="20"/>
            <w:szCs w:val="20"/>
            <w:highlight w:val="white"/>
            <w:u w:val="single"/>
          </w:rPr>
          <w:t>https://doi.org/10.1016/j.healthplace.2010.09.011</w:t>
        </w:r>
      </w:hyperlink>
      <w:r w:rsidRPr="00FA41A9">
        <w:rPr>
          <w:rFonts w:cs="Arial"/>
          <w:sz w:val="20"/>
          <w:szCs w:val="20"/>
        </w:rPr>
        <w:t xml:space="preserve">; </w:t>
      </w:r>
      <w:r w:rsidRPr="00FA41A9">
        <w:rPr>
          <w:rFonts w:eastAsia="Calibri" w:cs="Arial"/>
          <w:color w:val="212121"/>
          <w:sz w:val="20"/>
          <w:szCs w:val="20"/>
          <w:highlight w:val="white"/>
        </w:rPr>
        <w:t xml:space="preserve">Ige, J., Pilkington, P., Orme, J., Williams, B., Prestwood, E., Black, D., Carmichael, L., &amp; Scally, G. (2019). The relationship between buildings and health: a systematic review. </w:t>
      </w:r>
      <w:r w:rsidRPr="00FA41A9">
        <w:rPr>
          <w:rFonts w:eastAsia="Calibri" w:cs="Arial"/>
          <w:i/>
          <w:color w:val="212121"/>
          <w:sz w:val="20"/>
          <w:szCs w:val="20"/>
          <w:highlight w:val="white"/>
        </w:rPr>
        <w:t>Journal of public health (Oxford, England)</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41</w:t>
      </w:r>
      <w:r w:rsidRPr="00FA41A9">
        <w:rPr>
          <w:rFonts w:eastAsia="Calibri" w:cs="Arial"/>
          <w:color w:val="212121"/>
          <w:sz w:val="20"/>
          <w:szCs w:val="20"/>
          <w:highlight w:val="white"/>
        </w:rPr>
        <w:t xml:space="preserve">(2), e121–e132. </w:t>
      </w:r>
      <w:hyperlink r:id="rId20">
        <w:r w:rsidRPr="00FA41A9">
          <w:rPr>
            <w:rFonts w:eastAsia="Calibri" w:cs="Arial"/>
            <w:color w:val="1155CC"/>
            <w:sz w:val="20"/>
            <w:szCs w:val="20"/>
            <w:highlight w:val="white"/>
            <w:u w:val="single"/>
          </w:rPr>
          <w:t>https://doi.org/10.1093/pubmed/fdy138</w:t>
        </w:r>
      </w:hyperlink>
    </w:p>
  </w:endnote>
  <w:endnote w:id="14">
    <w:p w14:paraId="7F1FD60D" w14:textId="77777777" w:rsidR="00266D65" w:rsidRPr="00FA41A9" w:rsidRDefault="00266D65">
      <w:pPr>
        <w:spacing w:after="0" w:line="240" w:lineRule="auto"/>
        <w:rPr>
          <w:rFonts w:cs="Arial"/>
          <w:sz w:val="20"/>
          <w:szCs w:val="20"/>
        </w:rPr>
      </w:pPr>
      <w:r w:rsidRPr="00FA41A9">
        <w:rPr>
          <w:rStyle w:val="EndnoteReference"/>
          <w:rFonts w:cs="Arial"/>
        </w:rPr>
        <w:endnoteRef/>
      </w:r>
      <w:r w:rsidRPr="00FA41A9">
        <w:rPr>
          <w:rFonts w:cs="Arial"/>
          <w:sz w:val="20"/>
          <w:szCs w:val="20"/>
        </w:rPr>
        <w:t xml:space="preserve"> </w:t>
      </w:r>
      <w:r w:rsidRPr="00FA41A9">
        <w:rPr>
          <w:rFonts w:eastAsia="Calibri" w:cs="Arial"/>
          <w:sz w:val="20"/>
          <w:szCs w:val="20"/>
        </w:rPr>
        <w:t xml:space="preserve">Thompson, H, and Thomas, S. Developing empirically supported theories of change for housing investment and health. </w:t>
      </w:r>
      <w:r w:rsidRPr="00FA41A9">
        <w:rPr>
          <w:rFonts w:eastAsia="Calibri" w:cs="Arial"/>
          <w:i/>
          <w:sz w:val="20"/>
          <w:szCs w:val="20"/>
        </w:rPr>
        <w:t xml:space="preserve">Social Science and Medicine (2015) </w:t>
      </w:r>
      <w:hyperlink r:id="rId21">
        <w:r w:rsidRPr="00FA41A9">
          <w:rPr>
            <w:rFonts w:eastAsia="Calibri" w:cs="Arial"/>
            <w:color w:val="1155CC"/>
            <w:sz w:val="20"/>
            <w:szCs w:val="20"/>
            <w:u w:val="single"/>
          </w:rPr>
          <w:t>https://doi.org/10.1016/j.socscimed.2014.11.043</w:t>
        </w:r>
      </w:hyperlink>
    </w:p>
  </w:endnote>
  <w:endnote w:id="15">
    <w:p w14:paraId="7F1FD60E" w14:textId="77777777" w:rsidR="00266D65" w:rsidRPr="00FA41A9" w:rsidRDefault="00266D65">
      <w:pPr>
        <w:pBdr>
          <w:top w:val="nil"/>
          <w:left w:val="nil"/>
          <w:bottom w:val="nil"/>
          <w:right w:val="nil"/>
          <w:between w:val="nil"/>
        </w:pBdr>
        <w:spacing w:after="0" w:line="240" w:lineRule="auto"/>
        <w:rPr>
          <w:rFonts w:cs="Arial"/>
          <w:color w:val="000000"/>
          <w:sz w:val="20"/>
          <w:szCs w:val="20"/>
        </w:rPr>
      </w:pPr>
      <w:r w:rsidRPr="00FA41A9">
        <w:rPr>
          <w:rStyle w:val="EndnoteReference"/>
          <w:rFonts w:cs="Arial"/>
        </w:rPr>
        <w:endnoteRef/>
      </w:r>
      <w:r w:rsidRPr="00FA41A9">
        <w:rPr>
          <w:rFonts w:eastAsia="Calibri" w:cs="Arial"/>
          <w:color w:val="000000"/>
          <w:sz w:val="20"/>
          <w:szCs w:val="20"/>
        </w:rPr>
        <w:t xml:space="preserve"> </w:t>
      </w:r>
      <w:r w:rsidRPr="00FA41A9">
        <w:rPr>
          <w:rFonts w:eastAsia="Calibri" w:cs="Arial"/>
          <w:color w:val="212121"/>
          <w:sz w:val="20"/>
          <w:szCs w:val="20"/>
          <w:highlight w:val="white"/>
        </w:rPr>
        <w:t xml:space="preserve">Swope, C. B., &amp; Hernández, D. (2019). Housing as a determinant of health equity: A conceptual model. </w:t>
      </w:r>
      <w:r w:rsidRPr="00FA41A9">
        <w:rPr>
          <w:rFonts w:eastAsia="Calibri" w:cs="Arial"/>
          <w:i/>
          <w:color w:val="212121"/>
          <w:sz w:val="20"/>
          <w:szCs w:val="20"/>
          <w:highlight w:val="white"/>
        </w:rPr>
        <w:t>Social science &amp; medicine (1982)</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243</w:t>
      </w:r>
      <w:r w:rsidRPr="00FA41A9">
        <w:rPr>
          <w:rFonts w:eastAsia="Calibri" w:cs="Arial"/>
          <w:color w:val="212121"/>
          <w:sz w:val="20"/>
          <w:szCs w:val="20"/>
          <w:highlight w:val="white"/>
        </w:rPr>
        <w:t xml:space="preserve">, 112571. </w:t>
      </w:r>
      <w:hyperlink r:id="rId22">
        <w:r w:rsidRPr="00FA41A9">
          <w:rPr>
            <w:rFonts w:eastAsia="Calibri" w:cs="Arial"/>
            <w:color w:val="1155CC"/>
            <w:sz w:val="20"/>
            <w:szCs w:val="20"/>
            <w:highlight w:val="white"/>
            <w:u w:val="single"/>
          </w:rPr>
          <w:t>https://doi.org/10.1016/j.socscimed.2019.112571</w:t>
        </w:r>
      </w:hyperlink>
      <w:r w:rsidRPr="00FA41A9">
        <w:rPr>
          <w:rFonts w:eastAsia="Calibri" w:cs="Arial"/>
          <w:sz w:val="20"/>
          <w:szCs w:val="20"/>
        </w:rPr>
        <w:t xml:space="preserve"> </w:t>
      </w:r>
    </w:p>
  </w:endnote>
  <w:endnote w:id="16">
    <w:p w14:paraId="7F1FD60F" w14:textId="77777777" w:rsidR="00266D65" w:rsidRPr="00FA41A9" w:rsidRDefault="00266D65">
      <w:pPr>
        <w:pBdr>
          <w:top w:val="nil"/>
          <w:left w:val="nil"/>
          <w:bottom w:val="nil"/>
          <w:right w:val="nil"/>
          <w:between w:val="nil"/>
        </w:pBdr>
        <w:spacing w:after="0" w:line="240" w:lineRule="auto"/>
        <w:rPr>
          <w:rFonts w:eastAsia="Calibri" w:cs="Arial"/>
          <w:color w:val="000000"/>
          <w:sz w:val="20"/>
          <w:szCs w:val="20"/>
        </w:rPr>
      </w:pPr>
      <w:r w:rsidRPr="00FA41A9">
        <w:rPr>
          <w:rStyle w:val="EndnoteReference"/>
          <w:rFonts w:cs="Arial"/>
        </w:rPr>
        <w:endnoteRef/>
      </w:r>
      <w:r w:rsidRPr="00FA41A9">
        <w:rPr>
          <w:rFonts w:cs="Arial"/>
          <w:color w:val="000000"/>
          <w:sz w:val="20"/>
          <w:szCs w:val="20"/>
        </w:rPr>
        <w:t xml:space="preserve"> </w:t>
      </w:r>
      <w:r w:rsidRPr="00FA41A9">
        <w:rPr>
          <w:rFonts w:eastAsia="Calibri" w:cs="Arial"/>
          <w:color w:val="212121"/>
          <w:sz w:val="20"/>
          <w:szCs w:val="20"/>
          <w:highlight w:val="white"/>
        </w:rPr>
        <w:t xml:space="preserve">Swope, C. B., &amp; Hernández, D. (2019). Housing as a determinant of health equity: A conceptual model. </w:t>
      </w:r>
      <w:r w:rsidRPr="00FA41A9">
        <w:rPr>
          <w:rFonts w:eastAsia="Calibri" w:cs="Arial"/>
          <w:i/>
          <w:color w:val="212121"/>
          <w:sz w:val="20"/>
          <w:szCs w:val="20"/>
          <w:highlight w:val="white"/>
        </w:rPr>
        <w:t>Social science &amp; medicine (1982)</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243</w:t>
      </w:r>
      <w:r w:rsidRPr="00FA41A9">
        <w:rPr>
          <w:rFonts w:eastAsia="Calibri" w:cs="Arial"/>
          <w:color w:val="212121"/>
          <w:sz w:val="20"/>
          <w:szCs w:val="20"/>
          <w:highlight w:val="white"/>
        </w:rPr>
        <w:t xml:space="preserve">, 112571. </w:t>
      </w:r>
      <w:hyperlink r:id="rId23">
        <w:r w:rsidRPr="00FA41A9">
          <w:rPr>
            <w:rFonts w:eastAsia="Calibri" w:cs="Arial"/>
            <w:color w:val="1155CC"/>
            <w:sz w:val="20"/>
            <w:szCs w:val="20"/>
            <w:highlight w:val="white"/>
            <w:u w:val="single"/>
          </w:rPr>
          <w:t>https://doi.org/10.1016/j.socscimed.2019.112571</w:t>
        </w:r>
      </w:hyperlink>
      <w:r w:rsidRPr="00FA41A9">
        <w:rPr>
          <w:rFonts w:eastAsia="Calibri" w:cs="Arial"/>
          <w:color w:val="212121"/>
          <w:sz w:val="20"/>
          <w:szCs w:val="20"/>
          <w:highlight w:val="white"/>
        </w:rPr>
        <w:t xml:space="preserve"> </w:t>
      </w:r>
    </w:p>
  </w:endnote>
  <w:endnote w:id="17">
    <w:p w14:paraId="7F1FD610" w14:textId="77777777" w:rsidR="00266D65" w:rsidRPr="00FA41A9" w:rsidRDefault="00266D65">
      <w:pPr>
        <w:spacing w:after="0" w:line="240" w:lineRule="auto"/>
        <w:rPr>
          <w:rFonts w:cs="Arial"/>
          <w:sz w:val="20"/>
          <w:szCs w:val="20"/>
        </w:rPr>
      </w:pPr>
      <w:r w:rsidRPr="00FA41A9">
        <w:rPr>
          <w:rStyle w:val="EndnoteReference"/>
          <w:rFonts w:cs="Arial"/>
        </w:rPr>
        <w:endnoteRef/>
      </w:r>
      <w:r w:rsidRPr="00FA41A9">
        <w:rPr>
          <w:rFonts w:eastAsia="Calibri" w:cs="Arial"/>
          <w:sz w:val="20"/>
          <w:szCs w:val="20"/>
        </w:rPr>
        <w:t xml:space="preserve"> </w:t>
      </w:r>
      <w:r w:rsidRPr="00FA41A9">
        <w:rPr>
          <w:rFonts w:eastAsia="Calibri" w:cs="Arial"/>
          <w:color w:val="212121"/>
          <w:sz w:val="20"/>
          <w:szCs w:val="20"/>
          <w:highlight w:val="white"/>
        </w:rPr>
        <w:t xml:space="preserve">Swope, C. B., &amp; Hernández, D. (2019). Housing as a determinant of health equity: A conceptual model. </w:t>
      </w:r>
      <w:r w:rsidRPr="00FA41A9">
        <w:rPr>
          <w:rFonts w:eastAsia="Calibri" w:cs="Arial"/>
          <w:i/>
          <w:color w:val="212121"/>
          <w:sz w:val="20"/>
          <w:szCs w:val="20"/>
          <w:highlight w:val="white"/>
        </w:rPr>
        <w:t>Social science &amp; medicine (1982)</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243</w:t>
      </w:r>
      <w:r w:rsidRPr="00FA41A9">
        <w:rPr>
          <w:rFonts w:eastAsia="Calibri" w:cs="Arial"/>
          <w:color w:val="212121"/>
          <w:sz w:val="20"/>
          <w:szCs w:val="20"/>
          <w:highlight w:val="white"/>
        </w:rPr>
        <w:t xml:space="preserve">, 112571. </w:t>
      </w:r>
      <w:hyperlink r:id="rId24">
        <w:r w:rsidRPr="00FA41A9">
          <w:rPr>
            <w:rFonts w:eastAsia="Calibri" w:cs="Arial"/>
            <w:color w:val="1155CC"/>
            <w:sz w:val="20"/>
            <w:szCs w:val="20"/>
            <w:highlight w:val="white"/>
            <w:u w:val="single"/>
          </w:rPr>
          <w:t>https://doi.org/10.1016/j.socscimed.2019.112571</w:t>
        </w:r>
      </w:hyperlink>
      <w:r w:rsidRPr="00FA41A9">
        <w:rPr>
          <w:rFonts w:cs="Arial"/>
          <w:sz w:val="20"/>
          <w:szCs w:val="20"/>
        </w:rPr>
        <w:t xml:space="preserve">; </w:t>
      </w:r>
      <w:r w:rsidRPr="00FA41A9">
        <w:rPr>
          <w:rFonts w:eastAsia="Calibri" w:cs="Arial"/>
          <w:sz w:val="20"/>
          <w:szCs w:val="20"/>
        </w:rPr>
        <w:t xml:space="preserve">Thompson, H, and Thomas, S. Developing empirically supported theories of change for housing investment and health. </w:t>
      </w:r>
      <w:r w:rsidRPr="00FA41A9">
        <w:rPr>
          <w:rFonts w:eastAsia="Calibri" w:cs="Arial"/>
          <w:i/>
          <w:sz w:val="20"/>
          <w:szCs w:val="20"/>
        </w:rPr>
        <w:t xml:space="preserve">Social Science and Medicine (2015) </w:t>
      </w:r>
      <w:hyperlink r:id="rId25">
        <w:r w:rsidRPr="00FA41A9">
          <w:rPr>
            <w:rFonts w:eastAsia="Calibri" w:cs="Arial"/>
            <w:color w:val="1155CC"/>
            <w:sz w:val="20"/>
            <w:szCs w:val="20"/>
            <w:u w:val="single"/>
          </w:rPr>
          <w:t>https://doi.org/10.1016/j.socscimed.2014.11.043</w:t>
        </w:r>
      </w:hyperlink>
    </w:p>
  </w:endnote>
  <w:endnote w:id="18">
    <w:p w14:paraId="7F1FD611" w14:textId="77777777" w:rsidR="00266D65" w:rsidRPr="00FA41A9" w:rsidRDefault="00266D65">
      <w:pPr>
        <w:spacing w:after="0" w:line="240" w:lineRule="auto"/>
        <w:rPr>
          <w:rFonts w:cs="Arial"/>
          <w:sz w:val="20"/>
          <w:szCs w:val="20"/>
        </w:rPr>
      </w:pPr>
      <w:r w:rsidRPr="00FA41A9">
        <w:rPr>
          <w:rStyle w:val="EndnoteReference"/>
          <w:rFonts w:cs="Arial"/>
        </w:rPr>
        <w:endnoteRef/>
      </w:r>
      <w:r w:rsidRPr="00FA41A9">
        <w:rPr>
          <w:rFonts w:cs="Arial"/>
          <w:sz w:val="20"/>
          <w:szCs w:val="20"/>
        </w:rPr>
        <w:t xml:space="preserve"> </w:t>
      </w:r>
      <w:r w:rsidRPr="00FA41A9">
        <w:rPr>
          <w:rFonts w:eastAsia="Calibri" w:cs="Arial"/>
          <w:sz w:val="20"/>
          <w:szCs w:val="20"/>
        </w:rPr>
        <w:t xml:space="preserve">Thompson, H, and Thomas, S. Developing empirically supported theories of change for housing investment and health. </w:t>
      </w:r>
      <w:r w:rsidRPr="00FA41A9">
        <w:rPr>
          <w:rFonts w:eastAsia="Calibri" w:cs="Arial"/>
          <w:i/>
          <w:sz w:val="20"/>
          <w:szCs w:val="20"/>
        </w:rPr>
        <w:t xml:space="preserve">Social Science and Medicine (2015) </w:t>
      </w:r>
      <w:hyperlink r:id="rId26">
        <w:r w:rsidRPr="00FA41A9">
          <w:rPr>
            <w:rFonts w:eastAsia="Calibri" w:cs="Arial"/>
            <w:color w:val="1155CC"/>
            <w:sz w:val="20"/>
            <w:szCs w:val="20"/>
            <w:u w:val="single"/>
          </w:rPr>
          <w:t>https://doi.org/10.1016/j.socscimed.2014.11.043</w:t>
        </w:r>
      </w:hyperlink>
    </w:p>
  </w:endnote>
  <w:endnote w:id="19">
    <w:p w14:paraId="7F1FD612" w14:textId="77777777" w:rsidR="00266D65" w:rsidRPr="00FA41A9" w:rsidRDefault="00266D65">
      <w:pPr>
        <w:spacing w:after="0" w:line="240" w:lineRule="auto"/>
        <w:rPr>
          <w:rFonts w:cs="Arial"/>
          <w:sz w:val="20"/>
          <w:szCs w:val="20"/>
        </w:rPr>
      </w:pPr>
      <w:r w:rsidRPr="00FA41A9">
        <w:rPr>
          <w:rStyle w:val="EndnoteReference"/>
          <w:rFonts w:cs="Arial"/>
        </w:rPr>
        <w:endnoteRef/>
      </w:r>
      <w:r w:rsidRPr="00FA41A9">
        <w:rPr>
          <w:rFonts w:cs="Arial"/>
          <w:sz w:val="20"/>
          <w:szCs w:val="20"/>
        </w:rPr>
        <w:t xml:space="preserve"> </w:t>
      </w:r>
      <w:r w:rsidRPr="00FA41A9">
        <w:rPr>
          <w:rFonts w:eastAsia="Calibri" w:cs="Arial"/>
          <w:sz w:val="20"/>
          <w:szCs w:val="20"/>
        </w:rPr>
        <w:t xml:space="preserve">Thompson, H, and Thomas, S. Developing empirically supported theories of change for housing investment and health. </w:t>
      </w:r>
      <w:r w:rsidRPr="00FA41A9">
        <w:rPr>
          <w:rFonts w:eastAsia="Calibri" w:cs="Arial"/>
          <w:i/>
          <w:sz w:val="20"/>
          <w:szCs w:val="20"/>
        </w:rPr>
        <w:t xml:space="preserve">Social Science and Medicine (2015) </w:t>
      </w:r>
      <w:hyperlink r:id="rId27">
        <w:r w:rsidRPr="00FA41A9">
          <w:rPr>
            <w:rFonts w:eastAsia="Calibri" w:cs="Arial"/>
            <w:color w:val="1155CC"/>
            <w:sz w:val="20"/>
            <w:szCs w:val="20"/>
            <w:u w:val="single"/>
          </w:rPr>
          <w:t>https://doi.org/10.1016/j.socscimed.2014.11.043</w:t>
        </w:r>
      </w:hyperlink>
    </w:p>
  </w:endnote>
  <w:endnote w:id="20">
    <w:p w14:paraId="7F1FD613" w14:textId="77777777" w:rsidR="00266D65" w:rsidRDefault="00266D65">
      <w:pPr>
        <w:pBdr>
          <w:top w:val="nil"/>
          <w:left w:val="nil"/>
          <w:bottom w:val="nil"/>
          <w:right w:val="nil"/>
          <w:between w:val="nil"/>
        </w:pBdr>
        <w:spacing w:after="0" w:line="240" w:lineRule="auto"/>
        <w:rPr>
          <w:rFonts w:ascii="Calibri" w:eastAsia="Calibri" w:hAnsi="Calibri" w:cs="Calibri"/>
          <w:color w:val="000000"/>
          <w:sz w:val="20"/>
          <w:szCs w:val="20"/>
        </w:rPr>
      </w:pPr>
      <w:r w:rsidRPr="00FA41A9">
        <w:rPr>
          <w:rStyle w:val="EndnoteReference"/>
          <w:rFonts w:cs="Arial"/>
        </w:rPr>
        <w:endnoteRef/>
      </w:r>
      <w:r w:rsidRPr="00FA41A9">
        <w:rPr>
          <w:rFonts w:eastAsia="Calibri" w:cs="Arial"/>
          <w:color w:val="000000"/>
          <w:sz w:val="20"/>
          <w:szCs w:val="20"/>
        </w:rPr>
        <w:t xml:space="preserve"> </w:t>
      </w:r>
      <w:r w:rsidRPr="00FA41A9">
        <w:rPr>
          <w:rFonts w:eastAsia="Calibri" w:cs="Arial"/>
          <w:color w:val="212121"/>
          <w:sz w:val="20"/>
          <w:szCs w:val="20"/>
          <w:highlight w:val="white"/>
        </w:rPr>
        <w:t xml:space="preserve">Swope, C. B., &amp; Hernández, D. (2019). Housing as a determinant of health equity: A conceptual model. </w:t>
      </w:r>
      <w:r w:rsidRPr="00FA41A9">
        <w:rPr>
          <w:rFonts w:eastAsia="Calibri" w:cs="Arial"/>
          <w:i/>
          <w:color w:val="212121"/>
          <w:sz w:val="20"/>
          <w:szCs w:val="20"/>
          <w:highlight w:val="white"/>
        </w:rPr>
        <w:t>Social science &amp; medicine (1982)</w:t>
      </w:r>
      <w:r w:rsidRPr="00FA41A9">
        <w:rPr>
          <w:rFonts w:eastAsia="Calibri" w:cs="Arial"/>
          <w:color w:val="212121"/>
          <w:sz w:val="20"/>
          <w:szCs w:val="20"/>
          <w:highlight w:val="white"/>
        </w:rPr>
        <w:t xml:space="preserve">, </w:t>
      </w:r>
      <w:r w:rsidRPr="00FA41A9">
        <w:rPr>
          <w:rFonts w:eastAsia="Calibri" w:cs="Arial"/>
          <w:i/>
          <w:color w:val="212121"/>
          <w:sz w:val="20"/>
          <w:szCs w:val="20"/>
          <w:highlight w:val="white"/>
        </w:rPr>
        <w:t>243</w:t>
      </w:r>
      <w:r w:rsidRPr="00FA41A9">
        <w:rPr>
          <w:rFonts w:eastAsia="Calibri" w:cs="Arial"/>
          <w:color w:val="212121"/>
          <w:sz w:val="20"/>
          <w:szCs w:val="20"/>
          <w:highlight w:val="white"/>
        </w:rPr>
        <w:t xml:space="preserve">, 112571. </w:t>
      </w:r>
      <w:hyperlink r:id="rId28">
        <w:r w:rsidRPr="00FA41A9">
          <w:rPr>
            <w:rFonts w:eastAsia="Calibri" w:cs="Arial"/>
            <w:color w:val="1155CC"/>
            <w:sz w:val="20"/>
            <w:szCs w:val="20"/>
            <w:highlight w:val="white"/>
            <w:u w:val="single"/>
          </w:rPr>
          <w:t>https://doi.org/10.1016/j.socscimed.2019.112571</w:t>
        </w:r>
      </w:hyperlink>
      <w:r>
        <w:rPr>
          <w:rFonts w:ascii="Calibri" w:eastAsia="Calibri" w:hAnsi="Calibri" w:cs="Calibri"/>
          <w:color w:val="212121"/>
          <w:sz w:val="20"/>
          <w:szCs w:val="20"/>
          <w:highlight w:val="white"/>
        </w:rPr>
        <w:t xml:space="preserve"> </w:t>
      </w:r>
    </w:p>
  </w:endnote>
  <w:endnote w:id="21">
    <w:p w14:paraId="7F1FD614" w14:textId="77777777" w:rsidR="00266D65" w:rsidRPr="009C3622" w:rsidRDefault="00266D65">
      <w:pPr>
        <w:spacing w:after="0" w:line="240" w:lineRule="auto"/>
        <w:rPr>
          <w:rFonts w:cs="Arial"/>
          <w:sz w:val="20"/>
          <w:szCs w:val="20"/>
        </w:rPr>
      </w:pPr>
      <w:r w:rsidRPr="009C3622">
        <w:rPr>
          <w:rStyle w:val="EndnoteReference"/>
          <w:rFonts w:cs="Arial"/>
          <w:sz w:val="20"/>
          <w:szCs w:val="20"/>
        </w:rPr>
        <w:endnoteRef/>
      </w:r>
      <w:r w:rsidRPr="009C3622">
        <w:rPr>
          <w:rFonts w:cs="Arial"/>
          <w:sz w:val="20"/>
          <w:szCs w:val="20"/>
        </w:rPr>
        <w:t xml:space="preserve"> </w:t>
      </w:r>
      <w:r w:rsidRPr="009C3622">
        <w:rPr>
          <w:rFonts w:eastAsia="Calibri" w:cs="Arial"/>
          <w:sz w:val="20"/>
          <w:szCs w:val="20"/>
        </w:rPr>
        <w:t xml:space="preserve">Thompson, H, and Thomas, S. Developing empirically supported theories of change for housing investment and health. </w:t>
      </w:r>
      <w:r w:rsidRPr="009C3622">
        <w:rPr>
          <w:rFonts w:eastAsia="Calibri" w:cs="Arial"/>
          <w:i/>
          <w:sz w:val="20"/>
          <w:szCs w:val="20"/>
        </w:rPr>
        <w:t xml:space="preserve">Social Science and Medicine (2015) </w:t>
      </w:r>
      <w:hyperlink r:id="rId29">
        <w:r w:rsidRPr="009C3622">
          <w:rPr>
            <w:rFonts w:eastAsia="Calibri" w:cs="Arial"/>
            <w:color w:val="1155CC"/>
            <w:sz w:val="20"/>
            <w:szCs w:val="20"/>
            <w:u w:val="single"/>
          </w:rPr>
          <w:t>https://doi.org/10.1016/j.socscimed.2014.11.043</w:t>
        </w:r>
      </w:hyperlink>
    </w:p>
  </w:endnote>
  <w:endnote w:id="22">
    <w:p w14:paraId="7F1FD615" w14:textId="77777777" w:rsidR="00266D65" w:rsidRPr="009C3622" w:rsidRDefault="00266D65">
      <w:pPr>
        <w:spacing w:after="0" w:line="240" w:lineRule="auto"/>
        <w:rPr>
          <w:rFonts w:cs="Arial"/>
          <w:sz w:val="20"/>
          <w:szCs w:val="20"/>
        </w:rPr>
      </w:pPr>
      <w:r w:rsidRPr="009C3622">
        <w:rPr>
          <w:rStyle w:val="EndnoteReference"/>
          <w:rFonts w:cs="Arial"/>
          <w:sz w:val="20"/>
          <w:szCs w:val="20"/>
        </w:rPr>
        <w:endnoteRef/>
      </w:r>
      <w:r w:rsidRPr="009C3622">
        <w:rPr>
          <w:rFonts w:cs="Arial"/>
          <w:sz w:val="20"/>
          <w:szCs w:val="20"/>
        </w:rPr>
        <w:t xml:space="preserve"> </w:t>
      </w:r>
      <w:r w:rsidRPr="009C3622">
        <w:rPr>
          <w:rFonts w:eastAsia="Calibri" w:cs="Arial"/>
          <w:color w:val="212121"/>
          <w:sz w:val="20"/>
          <w:szCs w:val="20"/>
          <w:highlight w:val="white"/>
        </w:rPr>
        <w:t xml:space="preserve">Ige, J., Pilkington, P., Orme, J., Williams, B., Prestwood, E., Black, D., Carmichael, L., &amp; Scally, G. (2019). The relationship between buildings and health: a systematic review. </w:t>
      </w:r>
      <w:r w:rsidRPr="009C3622">
        <w:rPr>
          <w:rFonts w:eastAsia="Calibri" w:cs="Arial"/>
          <w:i/>
          <w:color w:val="212121"/>
          <w:sz w:val="20"/>
          <w:szCs w:val="20"/>
          <w:highlight w:val="white"/>
        </w:rPr>
        <w:t>Journal of public health (Oxford, England)</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41</w:t>
      </w:r>
      <w:r w:rsidRPr="009C3622">
        <w:rPr>
          <w:rFonts w:eastAsia="Calibri" w:cs="Arial"/>
          <w:color w:val="212121"/>
          <w:sz w:val="20"/>
          <w:szCs w:val="20"/>
          <w:highlight w:val="white"/>
        </w:rPr>
        <w:t xml:space="preserve">(2), e121–e132. </w:t>
      </w:r>
      <w:hyperlink r:id="rId30">
        <w:r w:rsidRPr="009C3622">
          <w:rPr>
            <w:rFonts w:eastAsia="Calibri" w:cs="Arial"/>
            <w:color w:val="1155CC"/>
            <w:sz w:val="20"/>
            <w:szCs w:val="20"/>
            <w:highlight w:val="white"/>
            <w:u w:val="single"/>
          </w:rPr>
          <w:t>https://doi.org/10.1093/pubmed/fdy138</w:t>
        </w:r>
      </w:hyperlink>
    </w:p>
  </w:endnote>
  <w:endnote w:id="23">
    <w:p w14:paraId="7F1FD616" w14:textId="77777777" w:rsidR="00266D65" w:rsidRPr="009C3622" w:rsidRDefault="00266D65">
      <w:pPr>
        <w:spacing w:after="0" w:line="240" w:lineRule="auto"/>
        <w:rPr>
          <w:rFonts w:eastAsia="Calibri" w:cs="Arial"/>
          <w:sz w:val="20"/>
          <w:szCs w:val="20"/>
        </w:rPr>
      </w:pPr>
      <w:r w:rsidRPr="009C3622">
        <w:rPr>
          <w:rStyle w:val="EndnoteReference"/>
          <w:rFonts w:cs="Arial"/>
          <w:sz w:val="20"/>
          <w:szCs w:val="20"/>
        </w:rPr>
        <w:endnoteRef/>
      </w:r>
      <w:r w:rsidRPr="009C3622">
        <w:rPr>
          <w:rFonts w:cs="Arial"/>
          <w:sz w:val="20"/>
          <w:szCs w:val="20"/>
        </w:rPr>
        <w:t xml:space="preserve"> </w:t>
      </w:r>
      <w:r w:rsidRPr="009C3622">
        <w:rPr>
          <w:rFonts w:eastAsia="Calibri" w:cs="Arial"/>
          <w:color w:val="212121"/>
          <w:sz w:val="20"/>
          <w:szCs w:val="20"/>
          <w:highlight w:val="white"/>
        </w:rPr>
        <w:t xml:space="preserve">Swope, C. B., &amp; Hernández, D. (2019). Housing as a determinant of health equity: A conceptual model. </w:t>
      </w:r>
      <w:r w:rsidRPr="009C3622">
        <w:rPr>
          <w:rFonts w:eastAsia="Calibri" w:cs="Arial"/>
          <w:i/>
          <w:color w:val="212121"/>
          <w:sz w:val="20"/>
          <w:szCs w:val="20"/>
          <w:highlight w:val="white"/>
        </w:rPr>
        <w:t>Social science &amp; medicine (1982)</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243</w:t>
      </w:r>
      <w:r w:rsidRPr="009C3622">
        <w:rPr>
          <w:rFonts w:eastAsia="Calibri" w:cs="Arial"/>
          <w:color w:val="212121"/>
          <w:sz w:val="20"/>
          <w:szCs w:val="20"/>
          <w:highlight w:val="white"/>
        </w:rPr>
        <w:t xml:space="preserve">, 112571. </w:t>
      </w:r>
      <w:hyperlink r:id="rId31">
        <w:r w:rsidRPr="009C3622">
          <w:rPr>
            <w:rFonts w:eastAsia="Calibri" w:cs="Arial"/>
            <w:color w:val="1155CC"/>
            <w:sz w:val="20"/>
            <w:szCs w:val="20"/>
            <w:highlight w:val="white"/>
            <w:u w:val="single"/>
          </w:rPr>
          <w:t>https://doi.org/10.1016/j.socscimed.2019.112571</w:t>
        </w:r>
      </w:hyperlink>
      <w:r w:rsidRPr="009C3622">
        <w:rPr>
          <w:rFonts w:eastAsia="Calibri" w:cs="Arial"/>
          <w:color w:val="212121"/>
          <w:sz w:val="20"/>
          <w:szCs w:val="20"/>
          <w:highlight w:val="white"/>
        </w:rPr>
        <w:t xml:space="preserve"> </w:t>
      </w:r>
    </w:p>
  </w:endnote>
  <w:endnote w:id="24">
    <w:p w14:paraId="7F1FD617" w14:textId="77777777" w:rsidR="00266D65" w:rsidRPr="009C3622" w:rsidRDefault="00266D65">
      <w:pPr>
        <w:pBdr>
          <w:top w:val="nil"/>
          <w:left w:val="nil"/>
          <w:bottom w:val="nil"/>
          <w:right w:val="nil"/>
          <w:between w:val="nil"/>
        </w:pBdr>
        <w:spacing w:after="0" w:line="240" w:lineRule="auto"/>
        <w:rPr>
          <w:rFonts w:cs="Arial"/>
          <w:color w:val="000000"/>
          <w:sz w:val="20"/>
          <w:szCs w:val="20"/>
        </w:rPr>
      </w:pPr>
      <w:r w:rsidRPr="009C3622">
        <w:rPr>
          <w:rStyle w:val="EndnoteReference"/>
          <w:rFonts w:cs="Arial"/>
          <w:sz w:val="20"/>
          <w:szCs w:val="20"/>
        </w:rPr>
        <w:endnoteRef/>
      </w:r>
      <w:r w:rsidRPr="009C3622">
        <w:rPr>
          <w:rFonts w:cs="Arial"/>
          <w:color w:val="000000"/>
          <w:sz w:val="20"/>
          <w:szCs w:val="20"/>
        </w:rPr>
        <w:t xml:space="preserve"> </w:t>
      </w:r>
      <w:r w:rsidRPr="009C3622">
        <w:rPr>
          <w:rFonts w:eastAsia="Calibri" w:cs="Arial"/>
          <w:color w:val="212121"/>
          <w:sz w:val="20"/>
          <w:szCs w:val="20"/>
          <w:highlight w:val="white"/>
        </w:rPr>
        <w:t xml:space="preserve">Swope, C. B., &amp; Hernández, D. (2019). Housing as a determinant of health equity: A conceptual model. </w:t>
      </w:r>
      <w:r w:rsidRPr="009C3622">
        <w:rPr>
          <w:rFonts w:eastAsia="Calibri" w:cs="Arial"/>
          <w:i/>
          <w:color w:val="212121"/>
          <w:sz w:val="20"/>
          <w:szCs w:val="20"/>
          <w:highlight w:val="white"/>
        </w:rPr>
        <w:t>Social science &amp; medicine (1982)</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243</w:t>
      </w:r>
      <w:r w:rsidRPr="009C3622">
        <w:rPr>
          <w:rFonts w:eastAsia="Calibri" w:cs="Arial"/>
          <w:color w:val="212121"/>
          <w:sz w:val="20"/>
          <w:szCs w:val="20"/>
          <w:highlight w:val="white"/>
        </w:rPr>
        <w:t xml:space="preserve">, 112571. </w:t>
      </w:r>
      <w:hyperlink r:id="rId32">
        <w:r w:rsidRPr="009C3622">
          <w:rPr>
            <w:rFonts w:eastAsia="Calibri" w:cs="Arial"/>
            <w:color w:val="1155CC"/>
            <w:sz w:val="20"/>
            <w:szCs w:val="20"/>
            <w:highlight w:val="white"/>
            <w:u w:val="single"/>
          </w:rPr>
          <w:t>https://doi.org/10.1016/j.socscimed.2019.112571</w:t>
        </w:r>
      </w:hyperlink>
      <w:r w:rsidRPr="009C3622">
        <w:rPr>
          <w:rFonts w:cs="Arial"/>
          <w:sz w:val="20"/>
          <w:szCs w:val="20"/>
        </w:rPr>
        <w:t xml:space="preserve">; </w:t>
      </w:r>
      <w:r w:rsidRPr="009C3622">
        <w:rPr>
          <w:rFonts w:eastAsia="Calibri" w:cs="Arial"/>
          <w:color w:val="212121"/>
          <w:sz w:val="20"/>
          <w:szCs w:val="20"/>
          <w:highlight w:val="white"/>
        </w:rPr>
        <w:t xml:space="preserve">Ige, J., Pilkington, P., Orme, J., Williams, B., Prestwood, E., Black, D., Carmichael, L., &amp; Scally, G. (2019). The relationship between buildings and health: a systematic review. </w:t>
      </w:r>
      <w:r w:rsidRPr="009C3622">
        <w:rPr>
          <w:rFonts w:eastAsia="Calibri" w:cs="Arial"/>
          <w:i/>
          <w:color w:val="212121"/>
          <w:sz w:val="20"/>
          <w:szCs w:val="20"/>
          <w:highlight w:val="white"/>
        </w:rPr>
        <w:t>Journal of public health (Oxford, England)</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41</w:t>
      </w:r>
      <w:r w:rsidRPr="009C3622">
        <w:rPr>
          <w:rFonts w:eastAsia="Calibri" w:cs="Arial"/>
          <w:color w:val="212121"/>
          <w:sz w:val="20"/>
          <w:szCs w:val="20"/>
          <w:highlight w:val="white"/>
        </w:rPr>
        <w:t xml:space="preserve">(2), e121–e132. </w:t>
      </w:r>
      <w:hyperlink r:id="rId33">
        <w:r w:rsidRPr="009C3622">
          <w:rPr>
            <w:rFonts w:eastAsia="Calibri" w:cs="Arial"/>
            <w:color w:val="1155CC"/>
            <w:sz w:val="20"/>
            <w:szCs w:val="20"/>
            <w:highlight w:val="white"/>
            <w:u w:val="single"/>
          </w:rPr>
          <w:t>https://doi.org/10.1093/pubmed/fdy138</w:t>
        </w:r>
      </w:hyperlink>
    </w:p>
  </w:endnote>
  <w:endnote w:id="25">
    <w:p w14:paraId="7F1FD618" w14:textId="77777777" w:rsidR="00266D65" w:rsidRPr="009C3622" w:rsidRDefault="00266D65">
      <w:pPr>
        <w:spacing w:after="0" w:line="240" w:lineRule="auto"/>
        <w:rPr>
          <w:rFonts w:cs="Arial"/>
          <w:sz w:val="20"/>
          <w:szCs w:val="20"/>
        </w:rPr>
      </w:pPr>
      <w:r w:rsidRPr="009C3622">
        <w:rPr>
          <w:rStyle w:val="EndnoteReference"/>
          <w:rFonts w:cs="Arial"/>
          <w:sz w:val="20"/>
          <w:szCs w:val="20"/>
        </w:rPr>
        <w:endnoteRef/>
      </w:r>
      <w:r w:rsidRPr="009C3622">
        <w:rPr>
          <w:rFonts w:cs="Arial"/>
          <w:sz w:val="20"/>
          <w:szCs w:val="20"/>
        </w:rPr>
        <w:t xml:space="preserve"> </w:t>
      </w:r>
      <w:r w:rsidRPr="009C3622">
        <w:rPr>
          <w:rFonts w:eastAsia="Calibri" w:cs="Arial"/>
          <w:sz w:val="20"/>
          <w:szCs w:val="20"/>
        </w:rPr>
        <w:t xml:space="preserve">Thompson, H, and Thomas, S. Developing empirically supported theories of change for housing investment and health. </w:t>
      </w:r>
      <w:r w:rsidRPr="009C3622">
        <w:rPr>
          <w:rFonts w:eastAsia="Calibri" w:cs="Arial"/>
          <w:i/>
          <w:sz w:val="20"/>
          <w:szCs w:val="20"/>
        </w:rPr>
        <w:t xml:space="preserve">Social Science and Medicine (2015) </w:t>
      </w:r>
      <w:hyperlink r:id="rId34">
        <w:r w:rsidRPr="009C3622">
          <w:rPr>
            <w:rFonts w:eastAsia="Calibri" w:cs="Arial"/>
            <w:color w:val="1155CC"/>
            <w:sz w:val="20"/>
            <w:szCs w:val="20"/>
            <w:u w:val="single"/>
          </w:rPr>
          <w:t>https://doi.org/10.1016/j.socscimed.2014.11.043</w:t>
        </w:r>
      </w:hyperlink>
    </w:p>
  </w:endnote>
  <w:endnote w:id="26">
    <w:p w14:paraId="7F1FD619" w14:textId="77777777" w:rsidR="00266D65" w:rsidRPr="009C3622" w:rsidRDefault="00266D65">
      <w:pPr>
        <w:spacing w:after="0" w:line="240" w:lineRule="auto"/>
        <w:rPr>
          <w:rFonts w:cs="Arial"/>
          <w:sz w:val="20"/>
          <w:szCs w:val="20"/>
        </w:rPr>
      </w:pPr>
      <w:r w:rsidRPr="009C3622">
        <w:rPr>
          <w:rStyle w:val="EndnoteReference"/>
          <w:rFonts w:cs="Arial"/>
          <w:sz w:val="20"/>
          <w:szCs w:val="20"/>
        </w:rPr>
        <w:endnoteRef/>
      </w:r>
      <w:r w:rsidRPr="009C3622">
        <w:rPr>
          <w:rFonts w:eastAsia="Calibri" w:cs="Arial"/>
          <w:sz w:val="20"/>
          <w:szCs w:val="20"/>
        </w:rPr>
        <w:t xml:space="preserve"> </w:t>
      </w:r>
      <w:r w:rsidRPr="009C3622">
        <w:rPr>
          <w:rFonts w:eastAsia="Calibri" w:cs="Arial"/>
          <w:color w:val="212121"/>
          <w:sz w:val="20"/>
          <w:szCs w:val="20"/>
          <w:highlight w:val="white"/>
        </w:rPr>
        <w:t xml:space="preserve">Swope, C. B., &amp; Hernández, D. (2019). Housing as a determinant of health equity: A conceptual model. </w:t>
      </w:r>
      <w:r w:rsidRPr="009C3622">
        <w:rPr>
          <w:rFonts w:eastAsia="Calibri" w:cs="Arial"/>
          <w:i/>
          <w:color w:val="212121"/>
          <w:sz w:val="20"/>
          <w:szCs w:val="20"/>
          <w:highlight w:val="white"/>
        </w:rPr>
        <w:t>Social science &amp; medicine (1982)</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243</w:t>
      </w:r>
      <w:r w:rsidRPr="009C3622">
        <w:rPr>
          <w:rFonts w:eastAsia="Calibri" w:cs="Arial"/>
          <w:color w:val="212121"/>
          <w:sz w:val="20"/>
          <w:szCs w:val="20"/>
          <w:highlight w:val="white"/>
        </w:rPr>
        <w:t xml:space="preserve">, 112571. </w:t>
      </w:r>
      <w:hyperlink r:id="rId35">
        <w:r w:rsidRPr="009C3622">
          <w:rPr>
            <w:rFonts w:eastAsia="Calibri" w:cs="Arial"/>
            <w:color w:val="1155CC"/>
            <w:sz w:val="20"/>
            <w:szCs w:val="20"/>
            <w:highlight w:val="white"/>
            <w:u w:val="single"/>
          </w:rPr>
          <w:t>https://doi.org/10.1016/j.socscimed.2019.112571</w:t>
        </w:r>
      </w:hyperlink>
      <w:r w:rsidRPr="009C3622">
        <w:rPr>
          <w:rFonts w:eastAsia="Calibri" w:cs="Arial"/>
          <w:sz w:val="20"/>
          <w:szCs w:val="20"/>
        </w:rPr>
        <w:t xml:space="preserve">; Thompson, H, and Thomas, S. Developing empirically supported theories of change for housing investment and health. </w:t>
      </w:r>
      <w:r w:rsidRPr="009C3622">
        <w:rPr>
          <w:rFonts w:eastAsia="Calibri" w:cs="Arial"/>
          <w:i/>
          <w:sz w:val="20"/>
          <w:szCs w:val="20"/>
        </w:rPr>
        <w:t xml:space="preserve">Social Science and Medicine (2015) </w:t>
      </w:r>
      <w:hyperlink r:id="rId36">
        <w:r w:rsidRPr="009C3622">
          <w:rPr>
            <w:rFonts w:eastAsia="Calibri" w:cs="Arial"/>
            <w:color w:val="1155CC"/>
            <w:sz w:val="20"/>
            <w:szCs w:val="20"/>
            <w:u w:val="single"/>
          </w:rPr>
          <w:t>https://doi.org/10.1016/j.socscimed.2014.11.043</w:t>
        </w:r>
      </w:hyperlink>
      <w:r w:rsidRPr="009C3622">
        <w:rPr>
          <w:rFonts w:cs="Arial"/>
          <w:sz w:val="20"/>
          <w:szCs w:val="20"/>
        </w:rPr>
        <w:t xml:space="preserve">; </w:t>
      </w:r>
      <w:r w:rsidRPr="009C3622">
        <w:rPr>
          <w:rFonts w:eastAsia="Calibri" w:cs="Arial"/>
          <w:color w:val="333333"/>
          <w:sz w:val="20"/>
          <w:szCs w:val="20"/>
          <w:highlight w:val="white"/>
        </w:rPr>
        <w:t xml:space="preserve">Rolfe, S., Garnham, L., Godwin, J. </w:t>
      </w:r>
      <w:r w:rsidRPr="009C3622">
        <w:rPr>
          <w:rFonts w:eastAsia="Calibri" w:cs="Arial"/>
          <w:i/>
          <w:color w:val="333333"/>
          <w:sz w:val="20"/>
          <w:szCs w:val="20"/>
          <w:highlight w:val="white"/>
        </w:rPr>
        <w:t>et al.</w:t>
      </w:r>
      <w:r w:rsidRPr="009C3622">
        <w:rPr>
          <w:rFonts w:eastAsia="Calibri" w:cs="Arial"/>
          <w:color w:val="333333"/>
          <w:sz w:val="20"/>
          <w:szCs w:val="20"/>
          <w:highlight w:val="white"/>
        </w:rPr>
        <w:t xml:space="preserve"> Housing as a social determinant of health and wellbeing: developing an empirically-informed realist theoretical framework. </w:t>
      </w:r>
      <w:r w:rsidRPr="009C3622">
        <w:rPr>
          <w:rFonts w:eastAsia="Calibri" w:cs="Arial"/>
          <w:i/>
          <w:color w:val="333333"/>
          <w:sz w:val="20"/>
          <w:szCs w:val="20"/>
          <w:highlight w:val="white"/>
        </w:rPr>
        <w:t>BMC Public Health</w:t>
      </w:r>
      <w:r w:rsidRPr="009C3622">
        <w:rPr>
          <w:rFonts w:eastAsia="Calibri" w:cs="Arial"/>
          <w:color w:val="333333"/>
          <w:sz w:val="20"/>
          <w:szCs w:val="20"/>
          <w:highlight w:val="white"/>
        </w:rPr>
        <w:t xml:space="preserve"> 20, 1138 (2020). </w:t>
      </w:r>
      <w:hyperlink r:id="rId37">
        <w:r w:rsidRPr="009C3622">
          <w:rPr>
            <w:rFonts w:eastAsia="Calibri" w:cs="Arial"/>
            <w:color w:val="1155CC"/>
            <w:sz w:val="20"/>
            <w:szCs w:val="20"/>
            <w:highlight w:val="white"/>
            <w:u w:val="single"/>
          </w:rPr>
          <w:t>https://doi.org/10.1186/s12889-020-09224-0</w:t>
        </w:r>
      </w:hyperlink>
      <w:r w:rsidRPr="009C3622">
        <w:rPr>
          <w:rFonts w:eastAsia="Calibri" w:cs="Arial"/>
          <w:sz w:val="20"/>
          <w:szCs w:val="20"/>
        </w:rPr>
        <w:t xml:space="preserve"> </w:t>
      </w:r>
    </w:p>
  </w:endnote>
  <w:endnote w:id="27">
    <w:p w14:paraId="7F1FD61A" w14:textId="77777777" w:rsidR="00266D65" w:rsidRPr="009C3622" w:rsidRDefault="00266D65">
      <w:pPr>
        <w:spacing w:after="0" w:line="240" w:lineRule="auto"/>
        <w:rPr>
          <w:rFonts w:cs="Arial"/>
          <w:sz w:val="20"/>
          <w:szCs w:val="20"/>
        </w:rPr>
      </w:pPr>
      <w:r w:rsidRPr="009C3622">
        <w:rPr>
          <w:rStyle w:val="EndnoteReference"/>
          <w:rFonts w:cs="Arial"/>
          <w:sz w:val="20"/>
          <w:szCs w:val="20"/>
        </w:rPr>
        <w:endnoteRef/>
      </w:r>
      <w:r w:rsidRPr="009C3622">
        <w:rPr>
          <w:rFonts w:cs="Arial"/>
          <w:sz w:val="20"/>
          <w:szCs w:val="20"/>
        </w:rPr>
        <w:t xml:space="preserve"> </w:t>
      </w:r>
      <w:r w:rsidRPr="009C3622">
        <w:rPr>
          <w:rFonts w:eastAsia="Calibri" w:cs="Arial"/>
          <w:sz w:val="20"/>
          <w:szCs w:val="20"/>
        </w:rPr>
        <w:t xml:space="preserve">Thompson, H, and Thomas, S. Developing empirically supported theories of change for housing investment and health. </w:t>
      </w:r>
      <w:r w:rsidRPr="009C3622">
        <w:rPr>
          <w:rFonts w:eastAsia="Calibri" w:cs="Arial"/>
          <w:i/>
          <w:sz w:val="20"/>
          <w:szCs w:val="20"/>
        </w:rPr>
        <w:t xml:space="preserve">Social Science and Medicine (2015) </w:t>
      </w:r>
      <w:hyperlink r:id="rId38">
        <w:r w:rsidRPr="009C3622">
          <w:rPr>
            <w:rFonts w:eastAsia="Calibri" w:cs="Arial"/>
            <w:color w:val="1155CC"/>
            <w:sz w:val="20"/>
            <w:szCs w:val="20"/>
            <w:u w:val="single"/>
          </w:rPr>
          <w:t>https://doi.org/10.1016/j.socscimed.2014.11.043</w:t>
        </w:r>
      </w:hyperlink>
    </w:p>
  </w:endnote>
  <w:endnote w:id="28">
    <w:p w14:paraId="7F1FD61B" w14:textId="77777777" w:rsidR="00266D65" w:rsidRPr="009C3622" w:rsidRDefault="00266D65">
      <w:pPr>
        <w:spacing w:after="0" w:line="240" w:lineRule="auto"/>
        <w:rPr>
          <w:rFonts w:cs="Arial"/>
          <w:sz w:val="20"/>
          <w:szCs w:val="20"/>
        </w:rPr>
      </w:pPr>
      <w:r w:rsidRPr="009C3622">
        <w:rPr>
          <w:rStyle w:val="EndnoteReference"/>
          <w:rFonts w:cs="Arial"/>
          <w:sz w:val="20"/>
          <w:szCs w:val="20"/>
        </w:rPr>
        <w:endnoteRef/>
      </w:r>
      <w:r w:rsidRPr="009C3622">
        <w:rPr>
          <w:rFonts w:cs="Arial"/>
          <w:sz w:val="20"/>
          <w:szCs w:val="20"/>
        </w:rPr>
        <w:t xml:space="preserve"> </w:t>
      </w:r>
      <w:r w:rsidRPr="009C3622">
        <w:rPr>
          <w:rFonts w:eastAsia="Calibri" w:cs="Arial"/>
          <w:sz w:val="20"/>
          <w:szCs w:val="20"/>
        </w:rPr>
        <w:t xml:space="preserve">Thompson, H, and Thomas, S. Developing empirically supported theories of change for housing investment and health. </w:t>
      </w:r>
      <w:r w:rsidRPr="009C3622">
        <w:rPr>
          <w:rFonts w:eastAsia="Calibri" w:cs="Arial"/>
          <w:i/>
          <w:sz w:val="20"/>
          <w:szCs w:val="20"/>
        </w:rPr>
        <w:t xml:space="preserve">Social Science and Medicine (2015) </w:t>
      </w:r>
      <w:hyperlink r:id="rId39">
        <w:r w:rsidRPr="009C3622">
          <w:rPr>
            <w:rFonts w:eastAsia="Calibri" w:cs="Arial"/>
            <w:color w:val="1155CC"/>
            <w:sz w:val="20"/>
            <w:szCs w:val="20"/>
            <w:u w:val="single"/>
          </w:rPr>
          <w:t>https://doi.org/10.1016/j.socscimed.2014.11.043</w:t>
        </w:r>
      </w:hyperlink>
      <w:r w:rsidRPr="009C3622">
        <w:rPr>
          <w:rFonts w:cs="Arial"/>
          <w:sz w:val="20"/>
          <w:szCs w:val="20"/>
        </w:rPr>
        <w:t xml:space="preserve">; </w:t>
      </w:r>
      <w:r w:rsidRPr="009C3622">
        <w:rPr>
          <w:rFonts w:eastAsia="Calibri" w:cs="Arial"/>
          <w:color w:val="212121"/>
          <w:sz w:val="20"/>
          <w:szCs w:val="20"/>
          <w:highlight w:val="white"/>
        </w:rPr>
        <w:t xml:space="preserve">Singh, A., Daniel, L., Baker, E., &amp; Bentley, R. (2019). Housing Disadvantage and Poor Mental Health: A Systematic Review. </w:t>
      </w:r>
      <w:r w:rsidRPr="009C3622">
        <w:rPr>
          <w:rFonts w:eastAsia="Calibri" w:cs="Arial"/>
          <w:i/>
          <w:color w:val="212121"/>
          <w:sz w:val="20"/>
          <w:szCs w:val="20"/>
          <w:highlight w:val="white"/>
        </w:rPr>
        <w:t>American journal of preventive medicine</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57</w:t>
      </w:r>
      <w:r w:rsidRPr="009C3622">
        <w:rPr>
          <w:rFonts w:eastAsia="Calibri" w:cs="Arial"/>
          <w:color w:val="212121"/>
          <w:sz w:val="20"/>
          <w:szCs w:val="20"/>
          <w:highlight w:val="white"/>
        </w:rPr>
        <w:t xml:space="preserve">(2), 262–272. </w:t>
      </w:r>
      <w:hyperlink r:id="rId40">
        <w:r w:rsidRPr="009C3622">
          <w:rPr>
            <w:rFonts w:eastAsia="Calibri" w:cs="Arial"/>
            <w:color w:val="1155CC"/>
            <w:sz w:val="20"/>
            <w:szCs w:val="20"/>
            <w:highlight w:val="white"/>
            <w:u w:val="single"/>
          </w:rPr>
          <w:t>https://doi.org/10.1016/j.amepre.2019.03.018</w:t>
        </w:r>
      </w:hyperlink>
      <w:r w:rsidRPr="009C3622">
        <w:rPr>
          <w:rFonts w:eastAsia="Calibri" w:cs="Arial"/>
          <w:sz w:val="20"/>
          <w:szCs w:val="20"/>
        </w:rPr>
        <w:t>; G</w:t>
      </w:r>
      <w:r w:rsidRPr="009C3622">
        <w:rPr>
          <w:rFonts w:eastAsia="Calibri" w:cs="Arial"/>
          <w:color w:val="212121"/>
          <w:sz w:val="20"/>
          <w:szCs w:val="20"/>
          <w:highlight w:val="white"/>
        </w:rPr>
        <w:t xml:space="preserve">ibson, M., Petticrew, M., Bambra, C., Sowden, A. J., Wright, K. E., &amp; Whitehead, M. (2011). Housing and health inequalities: a synthesis of systematic reviews of interventions aimed at different pathways linking housing and health. </w:t>
      </w:r>
      <w:r w:rsidRPr="009C3622">
        <w:rPr>
          <w:rFonts w:eastAsia="Calibri" w:cs="Arial"/>
          <w:i/>
          <w:color w:val="212121"/>
          <w:sz w:val="20"/>
          <w:szCs w:val="20"/>
          <w:highlight w:val="white"/>
        </w:rPr>
        <w:t>Health &amp; place</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17</w:t>
      </w:r>
      <w:r w:rsidRPr="009C3622">
        <w:rPr>
          <w:rFonts w:eastAsia="Calibri" w:cs="Arial"/>
          <w:color w:val="212121"/>
          <w:sz w:val="20"/>
          <w:szCs w:val="20"/>
          <w:highlight w:val="white"/>
        </w:rPr>
        <w:t xml:space="preserve">(1), 175–184. </w:t>
      </w:r>
      <w:hyperlink r:id="rId41">
        <w:r w:rsidRPr="009C3622">
          <w:rPr>
            <w:rFonts w:eastAsia="Calibri" w:cs="Arial"/>
            <w:color w:val="1155CC"/>
            <w:sz w:val="20"/>
            <w:szCs w:val="20"/>
            <w:highlight w:val="white"/>
            <w:u w:val="single"/>
          </w:rPr>
          <w:t>https://doi.org/10.1016/j.healthplace.2010.09.011</w:t>
        </w:r>
      </w:hyperlink>
      <w:r w:rsidRPr="009C3622">
        <w:rPr>
          <w:rFonts w:cs="Arial"/>
          <w:sz w:val="20"/>
          <w:szCs w:val="20"/>
        </w:rPr>
        <w:t xml:space="preserve"> </w:t>
      </w:r>
    </w:p>
  </w:endnote>
  <w:endnote w:id="29">
    <w:p w14:paraId="7F1FD61C" w14:textId="77777777" w:rsidR="00266D65" w:rsidRDefault="00266D65">
      <w:pPr>
        <w:spacing w:after="0" w:line="240" w:lineRule="auto"/>
        <w:rPr>
          <w:sz w:val="20"/>
          <w:szCs w:val="20"/>
        </w:rPr>
      </w:pPr>
      <w:r w:rsidRPr="009C3622">
        <w:rPr>
          <w:rStyle w:val="EndnoteReference"/>
          <w:rFonts w:cs="Arial"/>
          <w:sz w:val="20"/>
          <w:szCs w:val="20"/>
        </w:rPr>
        <w:endnoteRef/>
      </w:r>
      <w:r w:rsidRPr="009C3622">
        <w:rPr>
          <w:rFonts w:eastAsia="Calibri" w:cs="Arial"/>
          <w:sz w:val="20"/>
          <w:szCs w:val="20"/>
        </w:rPr>
        <w:t xml:space="preserve"> </w:t>
      </w:r>
      <w:r w:rsidRPr="009C3622">
        <w:rPr>
          <w:rFonts w:eastAsia="Calibri" w:cs="Arial"/>
          <w:color w:val="212121"/>
          <w:sz w:val="20"/>
          <w:szCs w:val="20"/>
          <w:highlight w:val="white"/>
        </w:rPr>
        <w:t xml:space="preserve">Swope, C. B., &amp; Hernández, D. (2019). Housing as a determinant of health equity: A conceptual model. </w:t>
      </w:r>
      <w:r w:rsidRPr="009C3622">
        <w:rPr>
          <w:rFonts w:eastAsia="Calibri" w:cs="Arial"/>
          <w:i/>
          <w:color w:val="212121"/>
          <w:sz w:val="20"/>
          <w:szCs w:val="20"/>
          <w:highlight w:val="white"/>
        </w:rPr>
        <w:t>Social science &amp; medicine (1982)</w:t>
      </w:r>
      <w:r w:rsidRPr="009C3622">
        <w:rPr>
          <w:rFonts w:eastAsia="Calibri" w:cs="Arial"/>
          <w:color w:val="212121"/>
          <w:sz w:val="20"/>
          <w:szCs w:val="20"/>
          <w:highlight w:val="white"/>
        </w:rPr>
        <w:t xml:space="preserve">, </w:t>
      </w:r>
      <w:r w:rsidRPr="009C3622">
        <w:rPr>
          <w:rFonts w:eastAsia="Calibri" w:cs="Arial"/>
          <w:i/>
          <w:color w:val="212121"/>
          <w:sz w:val="20"/>
          <w:szCs w:val="20"/>
          <w:highlight w:val="white"/>
        </w:rPr>
        <w:t>243</w:t>
      </w:r>
      <w:r w:rsidRPr="009C3622">
        <w:rPr>
          <w:rFonts w:eastAsia="Calibri" w:cs="Arial"/>
          <w:color w:val="212121"/>
          <w:sz w:val="20"/>
          <w:szCs w:val="20"/>
          <w:highlight w:val="white"/>
        </w:rPr>
        <w:t xml:space="preserve">, 112571. </w:t>
      </w:r>
      <w:hyperlink r:id="rId42">
        <w:r w:rsidRPr="009C3622">
          <w:rPr>
            <w:rFonts w:eastAsia="Calibri" w:cs="Arial"/>
            <w:color w:val="1155CC"/>
            <w:sz w:val="20"/>
            <w:szCs w:val="20"/>
            <w:highlight w:val="white"/>
            <w:u w:val="single"/>
          </w:rPr>
          <w:t>https://doi.org/10.1016/j.socscimed.2019.112571</w:t>
        </w:r>
      </w:hyperlink>
      <w:r w:rsidRPr="009C3622">
        <w:rPr>
          <w:rFonts w:cs="Arial"/>
          <w:sz w:val="20"/>
          <w:szCs w:val="20"/>
        </w:rPr>
        <w:t xml:space="preserve">; </w:t>
      </w:r>
      <w:r w:rsidRPr="009C3622">
        <w:rPr>
          <w:rFonts w:eastAsia="Calibri" w:cs="Arial"/>
          <w:sz w:val="20"/>
          <w:szCs w:val="20"/>
        </w:rPr>
        <w:t xml:space="preserve">Thompson, H, and Thomas, S. Developing empirically supported theories of change for housing investment and health. </w:t>
      </w:r>
      <w:r w:rsidRPr="009C3622">
        <w:rPr>
          <w:rFonts w:eastAsia="Calibri" w:cs="Arial"/>
          <w:i/>
          <w:sz w:val="20"/>
          <w:szCs w:val="20"/>
        </w:rPr>
        <w:t xml:space="preserve">Social Science and Medicine (2015) </w:t>
      </w:r>
      <w:hyperlink r:id="rId43">
        <w:r w:rsidRPr="009C3622">
          <w:rPr>
            <w:rFonts w:eastAsia="Calibri" w:cs="Arial"/>
            <w:color w:val="1155CC"/>
            <w:sz w:val="20"/>
            <w:szCs w:val="20"/>
            <w:u w:val="single"/>
          </w:rPr>
          <w:t>https://doi.org/10.1016/j.socscimed.2014.11.043</w:t>
        </w:r>
      </w:hyperlink>
    </w:p>
  </w:endnote>
  <w:endnote w:id="30">
    <w:p w14:paraId="7F1FD61D" w14:textId="77777777" w:rsidR="00266D65" w:rsidRPr="00236418" w:rsidRDefault="00266D65">
      <w:pPr>
        <w:spacing w:after="0" w:line="240" w:lineRule="auto"/>
        <w:rPr>
          <w:rFonts w:eastAsia="Calibri" w:cs="Arial"/>
          <w:sz w:val="20"/>
          <w:szCs w:val="20"/>
        </w:rPr>
      </w:pPr>
      <w:r w:rsidRPr="00236418">
        <w:rPr>
          <w:rStyle w:val="EndnoteReference"/>
          <w:rFonts w:cs="Arial"/>
          <w:sz w:val="20"/>
          <w:szCs w:val="20"/>
        </w:rPr>
        <w:endnoteRef/>
      </w:r>
      <w:r w:rsidRPr="00236418">
        <w:rPr>
          <w:rFonts w:cs="Arial"/>
          <w:sz w:val="20"/>
          <w:szCs w:val="20"/>
        </w:rPr>
        <w:t xml:space="preserve"> </w:t>
      </w:r>
      <w:r w:rsidRPr="00236418">
        <w:rPr>
          <w:rFonts w:eastAsia="Calibri" w:cs="Arial"/>
          <w:color w:val="212121"/>
          <w:sz w:val="20"/>
          <w:szCs w:val="20"/>
          <w:highlight w:val="white"/>
        </w:rPr>
        <w:t xml:space="preserve">Swope, C. B., &amp; Hernández, D. (2019). Housing as a determinant of health equity: A conceptual model. </w:t>
      </w:r>
      <w:r w:rsidRPr="00236418">
        <w:rPr>
          <w:rFonts w:eastAsia="Calibri" w:cs="Arial"/>
          <w:i/>
          <w:color w:val="212121"/>
          <w:sz w:val="20"/>
          <w:szCs w:val="20"/>
          <w:highlight w:val="white"/>
        </w:rPr>
        <w:t>Social science &amp; medicine (1982)</w:t>
      </w:r>
      <w:r w:rsidRPr="00236418">
        <w:rPr>
          <w:rFonts w:eastAsia="Calibri" w:cs="Arial"/>
          <w:color w:val="212121"/>
          <w:sz w:val="20"/>
          <w:szCs w:val="20"/>
          <w:highlight w:val="white"/>
        </w:rPr>
        <w:t xml:space="preserve">, </w:t>
      </w:r>
      <w:r w:rsidRPr="00236418">
        <w:rPr>
          <w:rFonts w:eastAsia="Calibri" w:cs="Arial"/>
          <w:i/>
          <w:color w:val="212121"/>
          <w:sz w:val="20"/>
          <w:szCs w:val="20"/>
          <w:highlight w:val="white"/>
        </w:rPr>
        <w:t>243</w:t>
      </w:r>
      <w:r w:rsidRPr="00236418">
        <w:rPr>
          <w:rFonts w:eastAsia="Calibri" w:cs="Arial"/>
          <w:color w:val="212121"/>
          <w:sz w:val="20"/>
          <w:szCs w:val="20"/>
          <w:highlight w:val="white"/>
        </w:rPr>
        <w:t xml:space="preserve">, 112571. </w:t>
      </w:r>
      <w:hyperlink r:id="rId44">
        <w:r w:rsidRPr="00236418">
          <w:rPr>
            <w:rFonts w:eastAsia="Calibri" w:cs="Arial"/>
            <w:color w:val="1155CC"/>
            <w:sz w:val="20"/>
            <w:szCs w:val="20"/>
            <w:highlight w:val="white"/>
            <w:u w:val="single"/>
          </w:rPr>
          <w:t>https://doi.org/10.1016/j.socscimed.2019.112571</w:t>
        </w:r>
      </w:hyperlink>
      <w:r w:rsidRPr="00236418">
        <w:rPr>
          <w:rFonts w:eastAsia="Calibri" w:cs="Arial"/>
          <w:color w:val="212121"/>
          <w:sz w:val="20"/>
          <w:szCs w:val="20"/>
          <w:highlight w:val="white"/>
        </w:rPr>
        <w:t xml:space="preserve"> </w:t>
      </w:r>
    </w:p>
  </w:endnote>
  <w:endnote w:id="31">
    <w:p w14:paraId="7F1FD61E" w14:textId="77777777" w:rsidR="00266D65" w:rsidRPr="00236418" w:rsidRDefault="00266D65">
      <w:pPr>
        <w:spacing w:after="0" w:line="240" w:lineRule="auto"/>
        <w:rPr>
          <w:rFonts w:eastAsia="Calibri" w:cs="Arial"/>
          <w:sz w:val="20"/>
          <w:szCs w:val="20"/>
        </w:rPr>
      </w:pPr>
      <w:r w:rsidRPr="00236418">
        <w:rPr>
          <w:rStyle w:val="EndnoteReference"/>
          <w:rFonts w:cs="Arial"/>
          <w:sz w:val="20"/>
          <w:szCs w:val="20"/>
        </w:rPr>
        <w:endnoteRef/>
      </w:r>
      <w:r w:rsidRPr="0016459F">
        <w:rPr>
          <w:rFonts w:cs="Arial"/>
          <w:sz w:val="20"/>
          <w:szCs w:val="20"/>
        </w:rPr>
        <w:t xml:space="preserve"> </w:t>
      </w:r>
      <w:r w:rsidRPr="0016459F">
        <w:rPr>
          <w:rFonts w:eastAsia="Calibri" w:cs="Arial"/>
          <w:color w:val="333333"/>
          <w:sz w:val="20"/>
          <w:szCs w:val="20"/>
          <w:highlight w:val="white"/>
        </w:rPr>
        <w:t xml:space="preserve">Rolfe, S., Garnham, L., Godwin, J. </w:t>
      </w:r>
      <w:r w:rsidRPr="0016459F">
        <w:rPr>
          <w:rFonts w:eastAsia="Calibri" w:cs="Arial"/>
          <w:i/>
          <w:color w:val="333333"/>
          <w:sz w:val="20"/>
          <w:szCs w:val="20"/>
          <w:highlight w:val="white"/>
        </w:rPr>
        <w:t>et al.</w:t>
      </w:r>
      <w:r w:rsidRPr="0016459F">
        <w:rPr>
          <w:rFonts w:eastAsia="Calibri" w:cs="Arial"/>
          <w:color w:val="333333"/>
          <w:sz w:val="20"/>
          <w:szCs w:val="20"/>
          <w:highlight w:val="white"/>
        </w:rPr>
        <w:t xml:space="preserve"> </w:t>
      </w:r>
      <w:r w:rsidRPr="00236418">
        <w:rPr>
          <w:rFonts w:eastAsia="Calibri" w:cs="Arial"/>
          <w:color w:val="333333"/>
          <w:sz w:val="20"/>
          <w:szCs w:val="20"/>
          <w:highlight w:val="white"/>
        </w:rPr>
        <w:t xml:space="preserve">Housing as a social determinant of health and wellbeing: developing an </w:t>
      </w:r>
      <w:proofErr w:type="gramStart"/>
      <w:r w:rsidRPr="00236418">
        <w:rPr>
          <w:rFonts w:eastAsia="Calibri" w:cs="Arial"/>
          <w:color w:val="333333"/>
          <w:sz w:val="20"/>
          <w:szCs w:val="20"/>
          <w:highlight w:val="white"/>
        </w:rPr>
        <w:t>empirically-informed</w:t>
      </w:r>
      <w:proofErr w:type="gramEnd"/>
      <w:r w:rsidRPr="00236418">
        <w:rPr>
          <w:rFonts w:eastAsia="Calibri" w:cs="Arial"/>
          <w:color w:val="333333"/>
          <w:sz w:val="20"/>
          <w:szCs w:val="20"/>
          <w:highlight w:val="white"/>
        </w:rPr>
        <w:t xml:space="preserve"> realist theoretical framework. </w:t>
      </w:r>
      <w:r w:rsidRPr="00236418">
        <w:rPr>
          <w:rFonts w:eastAsia="Calibri" w:cs="Arial"/>
          <w:i/>
          <w:color w:val="333333"/>
          <w:sz w:val="20"/>
          <w:szCs w:val="20"/>
          <w:highlight w:val="white"/>
        </w:rPr>
        <w:t>BMC Public Health</w:t>
      </w:r>
      <w:r w:rsidRPr="00236418">
        <w:rPr>
          <w:rFonts w:eastAsia="Calibri" w:cs="Arial"/>
          <w:color w:val="333333"/>
          <w:sz w:val="20"/>
          <w:szCs w:val="20"/>
          <w:highlight w:val="white"/>
        </w:rPr>
        <w:t xml:space="preserve"> 20, 1138 (2020). </w:t>
      </w:r>
      <w:hyperlink r:id="rId45">
        <w:r w:rsidRPr="00236418">
          <w:rPr>
            <w:rFonts w:eastAsia="Calibri" w:cs="Arial"/>
            <w:color w:val="1155CC"/>
            <w:sz w:val="20"/>
            <w:szCs w:val="20"/>
            <w:highlight w:val="white"/>
            <w:u w:val="single"/>
          </w:rPr>
          <w:t>https://doi.org/10.1186/s12889-020-09224-0</w:t>
        </w:r>
      </w:hyperlink>
      <w:r w:rsidRPr="00236418">
        <w:rPr>
          <w:rFonts w:eastAsia="Calibri" w:cs="Arial"/>
          <w:color w:val="333333"/>
          <w:sz w:val="20"/>
          <w:szCs w:val="20"/>
          <w:highlight w:val="white"/>
        </w:rPr>
        <w:t xml:space="preserve"> </w:t>
      </w:r>
    </w:p>
  </w:endnote>
  <w:endnote w:id="32">
    <w:p w14:paraId="7F1FD61F" w14:textId="77777777" w:rsidR="00266D65" w:rsidRPr="00236418" w:rsidRDefault="00266D65">
      <w:pPr>
        <w:spacing w:after="0" w:line="240" w:lineRule="auto"/>
        <w:rPr>
          <w:rFonts w:cs="Arial"/>
          <w:sz w:val="20"/>
          <w:szCs w:val="20"/>
        </w:rPr>
      </w:pPr>
      <w:r w:rsidRPr="00236418">
        <w:rPr>
          <w:rStyle w:val="EndnoteReference"/>
          <w:rFonts w:cs="Arial"/>
          <w:sz w:val="20"/>
          <w:szCs w:val="20"/>
        </w:rPr>
        <w:endnoteRef/>
      </w:r>
      <w:r w:rsidRPr="00236418">
        <w:rPr>
          <w:rFonts w:cs="Arial"/>
          <w:sz w:val="20"/>
          <w:szCs w:val="20"/>
        </w:rPr>
        <w:t xml:space="preserve"> </w:t>
      </w:r>
      <w:r w:rsidRPr="00236418">
        <w:rPr>
          <w:rFonts w:eastAsia="Calibri" w:cs="Arial"/>
          <w:sz w:val="20"/>
          <w:szCs w:val="20"/>
        </w:rPr>
        <w:t xml:space="preserve">Thompson, H, and Thomas, S. Developing empirically supported theories of change for housing investment and health. </w:t>
      </w:r>
      <w:r w:rsidRPr="00236418">
        <w:rPr>
          <w:rFonts w:eastAsia="Calibri" w:cs="Arial"/>
          <w:i/>
          <w:sz w:val="20"/>
          <w:szCs w:val="20"/>
        </w:rPr>
        <w:t xml:space="preserve">Social Science and Medicine (2015) </w:t>
      </w:r>
      <w:hyperlink r:id="rId46">
        <w:r w:rsidRPr="00236418">
          <w:rPr>
            <w:rFonts w:eastAsia="Calibri" w:cs="Arial"/>
            <w:color w:val="1155CC"/>
            <w:sz w:val="20"/>
            <w:szCs w:val="20"/>
            <w:u w:val="single"/>
          </w:rPr>
          <w:t>https://doi.org/10.1016/j.socscimed.2014.11.043</w:t>
        </w:r>
      </w:hyperlink>
    </w:p>
  </w:endnote>
  <w:endnote w:id="33">
    <w:p w14:paraId="7F1FD620" w14:textId="77777777" w:rsidR="00266D65" w:rsidRDefault="00266D65">
      <w:pPr>
        <w:spacing w:after="0" w:line="240" w:lineRule="auto"/>
        <w:rPr>
          <w:sz w:val="20"/>
          <w:szCs w:val="20"/>
        </w:rPr>
      </w:pPr>
      <w:r w:rsidRPr="00236418">
        <w:rPr>
          <w:rStyle w:val="EndnoteReference"/>
          <w:rFonts w:cs="Arial"/>
          <w:sz w:val="20"/>
          <w:szCs w:val="20"/>
        </w:rPr>
        <w:endnoteRef/>
      </w:r>
      <w:r w:rsidRPr="00236418">
        <w:rPr>
          <w:rFonts w:cs="Arial"/>
          <w:sz w:val="20"/>
          <w:szCs w:val="20"/>
        </w:rPr>
        <w:t xml:space="preserve"> </w:t>
      </w:r>
      <w:r w:rsidRPr="00236418">
        <w:rPr>
          <w:rFonts w:eastAsia="Calibri" w:cs="Arial"/>
          <w:color w:val="212121"/>
          <w:sz w:val="20"/>
          <w:szCs w:val="20"/>
          <w:highlight w:val="white"/>
        </w:rPr>
        <w:t xml:space="preserve">Swope, C. B., &amp; Hernández, D. (2019). Housing as a determinant of health equity: A conceptual model. </w:t>
      </w:r>
      <w:r w:rsidRPr="00236418">
        <w:rPr>
          <w:rFonts w:eastAsia="Calibri" w:cs="Arial"/>
          <w:i/>
          <w:color w:val="212121"/>
          <w:sz w:val="20"/>
          <w:szCs w:val="20"/>
          <w:highlight w:val="white"/>
        </w:rPr>
        <w:t>Social science &amp; medicine (1982)</w:t>
      </w:r>
      <w:r w:rsidRPr="00236418">
        <w:rPr>
          <w:rFonts w:eastAsia="Calibri" w:cs="Arial"/>
          <w:color w:val="212121"/>
          <w:sz w:val="20"/>
          <w:szCs w:val="20"/>
          <w:highlight w:val="white"/>
        </w:rPr>
        <w:t xml:space="preserve">, </w:t>
      </w:r>
      <w:r w:rsidRPr="00236418">
        <w:rPr>
          <w:rFonts w:eastAsia="Calibri" w:cs="Arial"/>
          <w:i/>
          <w:color w:val="212121"/>
          <w:sz w:val="20"/>
          <w:szCs w:val="20"/>
          <w:highlight w:val="white"/>
        </w:rPr>
        <w:t>243</w:t>
      </w:r>
      <w:r w:rsidRPr="00236418">
        <w:rPr>
          <w:rFonts w:eastAsia="Calibri" w:cs="Arial"/>
          <w:color w:val="212121"/>
          <w:sz w:val="20"/>
          <w:szCs w:val="20"/>
          <w:highlight w:val="white"/>
        </w:rPr>
        <w:t xml:space="preserve">, 112571. </w:t>
      </w:r>
      <w:hyperlink r:id="rId47">
        <w:r w:rsidRPr="00236418">
          <w:rPr>
            <w:rFonts w:eastAsia="Calibri" w:cs="Arial"/>
            <w:color w:val="1155CC"/>
            <w:sz w:val="20"/>
            <w:szCs w:val="20"/>
            <w:highlight w:val="white"/>
            <w:u w:val="single"/>
          </w:rPr>
          <w:t>https://doi.org/10.1016/j.socscimed.2019.112571</w:t>
        </w:r>
      </w:hyperlink>
      <w:r w:rsidRPr="00236418">
        <w:rPr>
          <w:rFonts w:eastAsia="Calibri" w:cs="Arial"/>
          <w:sz w:val="20"/>
          <w:szCs w:val="20"/>
        </w:rPr>
        <w:t xml:space="preserve">; Thompson, H, and Thomas, S. Developing empirically supported theories of change for housing investment and health. </w:t>
      </w:r>
      <w:r w:rsidRPr="00236418">
        <w:rPr>
          <w:rFonts w:eastAsia="Calibri" w:cs="Arial"/>
          <w:i/>
          <w:sz w:val="20"/>
          <w:szCs w:val="20"/>
        </w:rPr>
        <w:t xml:space="preserve">Social Science and Medicine (2015) </w:t>
      </w:r>
      <w:hyperlink r:id="rId48">
        <w:r w:rsidRPr="00236418">
          <w:rPr>
            <w:rFonts w:eastAsia="Calibri" w:cs="Arial"/>
            <w:color w:val="1155CC"/>
            <w:sz w:val="20"/>
            <w:szCs w:val="20"/>
            <w:u w:val="single"/>
          </w:rPr>
          <w:t>https://doi.org/10.1016/j.socscimed.2014.11.043</w:t>
        </w:r>
      </w:hyperlink>
      <w:r w:rsidRPr="00236418">
        <w:rPr>
          <w:rFonts w:cs="Arial"/>
          <w:sz w:val="20"/>
          <w:szCs w:val="20"/>
        </w:rPr>
        <w:t xml:space="preserve">, </w:t>
      </w:r>
      <w:r w:rsidRPr="00236418">
        <w:rPr>
          <w:rFonts w:eastAsia="Calibri" w:cs="Arial"/>
          <w:color w:val="333333"/>
          <w:sz w:val="20"/>
          <w:szCs w:val="20"/>
          <w:highlight w:val="white"/>
        </w:rPr>
        <w:t xml:space="preserve">Rolfe, S., Garnham, L., Godwin, J. </w:t>
      </w:r>
      <w:r w:rsidRPr="00236418">
        <w:rPr>
          <w:rFonts w:eastAsia="Calibri" w:cs="Arial"/>
          <w:i/>
          <w:color w:val="333333"/>
          <w:sz w:val="20"/>
          <w:szCs w:val="20"/>
          <w:highlight w:val="white"/>
        </w:rPr>
        <w:t>et al.</w:t>
      </w:r>
      <w:r w:rsidRPr="00236418">
        <w:rPr>
          <w:rFonts w:eastAsia="Calibri" w:cs="Arial"/>
          <w:color w:val="333333"/>
          <w:sz w:val="20"/>
          <w:szCs w:val="20"/>
          <w:highlight w:val="white"/>
        </w:rPr>
        <w:t xml:space="preserve"> Housing as a social determinant of health and wellbeing: developing an empirically-informed realist theoretical framework. </w:t>
      </w:r>
      <w:r w:rsidRPr="00236418">
        <w:rPr>
          <w:rFonts w:eastAsia="Calibri" w:cs="Arial"/>
          <w:i/>
          <w:color w:val="333333"/>
          <w:sz w:val="20"/>
          <w:szCs w:val="20"/>
          <w:highlight w:val="white"/>
        </w:rPr>
        <w:t>BMC Public Health</w:t>
      </w:r>
      <w:r w:rsidRPr="00236418">
        <w:rPr>
          <w:rFonts w:eastAsia="Calibri" w:cs="Arial"/>
          <w:color w:val="333333"/>
          <w:sz w:val="20"/>
          <w:szCs w:val="20"/>
          <w:highlight w:val="white"/>
        </w:rPr>
        <w:t xml:space="preserve"> 20, 1138 (2020). </w:t>
      </w:r>
      <w:hyperlink r:id="rId49">
        <w:r w:rsidRPr="00236418">
          <w:rPr>
            <w:rFonts w:eastAsia="Calibri" w:cs="Arial"/>
            <w:color w:val="1155CC"/>
            <w:sz w:val="20"/>
            <w:szCs w:val="20"/>
            <w:highlight w:val="white"/>
            <w:u w:val="single"/>
          </w:rPr>
          <w:t>https://doi.org/10.1186/s12889-020-09224-0</w:t>
        </w:r>
      </w:hyperlink>
      <w:r w:rsidRPr="00236418">
        <w:rPr>
          <w:rFonts w:eastAsia="Calibri" w:cs="Arial"/>
          <w:color w:val="333333"/>
          <w:sz w:val="20"/>
          <w:szCs w:val="20"/>
          <w:highlight w:val="white"/>
        </w:rPr>
        <w:t xml:space="preserve"> </w:t>
      </w:r>
    </w:p>
  </w:endnote>
  <w:endnote w:id="34">
    <w:p w14:paraId="7F1FD621" w14:textId="77777777" w:rsidR="00266D65" w:rsidRPr="00D6644C" w:rsidRDefault="00266D65">
      <w:pPr>
        <w:spacing w:after="0" w:line="240" w:lineRule="auto"/>
        <w:rPr>
          <w:rFonts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color w:val="212121"/>
          <w:sz w:val="20"/>
          <w:szCs w:val="20"/>
          <w:highlight w:val="white"/>
        </w:rPr>
        <w:t xml:space="preserve">Ige, J., Pilkington, P., Orme, J., Williams, B., Prestwood, E., Black, D., Carmichael, L., &amp; Scally, G. (2019). The relationship between buildings and health: a systematic review. </w:t>
      </w:r>
      <w:r w:rsidRPr="00D6644C">
        <w:rPr>
          <w:rFonts w:eastAsia="Calibri" w:cs="Arial"/>
          <w:i/>
          <w:color w:val="212121"/>
          <w:sz w:val="20"/>
          <w:szCs w:val="20"/>
          <w:highlight w:val="white"/>
        </w:rPr>
        <w:t>Journal of public health (Oxford, England)</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41</w:t>
      </w:r>
      <w:r w:rsidRPr="00D6644C">
        <w:rPr>
          <w:rFonts w:eastAsia="Calibri" w:cs="Arial"/>
          <w:color w:val="212121"/>
          <w:sz w:val="20"/>
          <w:szCs w:val="20"/>
          <w:highlight w:val="white"/>
        </w:rPr>
        <w:t xml:space="preserve">(2), e121–e132. </w:t>
      </w:r>
      <w:hyperlink r:id="rId50">
        <w:r w:rsidRPr="00D6644C">
          <w:rPr>
            <w:rFonts w:eastAsia="Calibri" w:cs="Arial"/>
            <w:color w:val="1155CC"/>
            <w:sz w:val="20"/>
            <w:szCs w:val="20"/>
            <w:highlight w:val="white"/>
            <w:u w:val="single"/>
          </w:rPr>
          <w:t>https://doi.org/10.1093/pubmed/fdy138</w:t>
        </w:r>
      </w:hyperlink>
    </w:p>
  </w:endnote>
  <w:endnote w:id="35">
    <w:p w14:paraId="7F1FD622" w14:textId="77777777" w:rsidR="00266D65" w:rsidRPr="00D6644C" w:rsidRDefault="00266D65">
      <w:pPr>
        <w:spacing w:after="0" w:line="240" w:lineRule="auto"/>
        <w:rPr>
          <w:rFonts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51">
        <w:r w:rsidRPr="00D6644C">
          <w:rPr>
            <w:rFonts w:eastAsia="Calibri" w:cs="Arial"/>
            <w:color w:val="1155CC"/>
            <w:sz w:val="20"/>
            <w:szCs w:val="20"/>
            <w:highlight w:val="white"/>
            <w:u w:val="single"/>
          </w:rPr>
          <w:t>https://doi.org/10.1016/j.socscimed.2019.112571</w:t>
        </w:r>
      </w:hyperlink>
      <w:r w:rsidRPr="00D6644C">
        <w:rPr>
          <w:rFonts w:cs="Arial"/>
          <w:sz w:val="20"/>
          <w:szCs w:val="20"/>
        </w:rPr>
        <w:t xml:space="preserve">; </w:t>
      </w:r>
      <w:r w:rsidRPr="00D6644C">
        <w:rPr>
          <w:rFonts w:eastAsia="Calibri" w:cs="Arial"/>
          <w:color w:val="212121"/>
          <w:sz w:val="20"/>
          <w:szCs w:val="20"/>
          <w:highlight w:val="white"/>
        </w:rPr>
        <w:t xml:space="preserve">Singh, A., Daniel, L., Baker, E., &amp; Bentley, R. (2019). Housing Disadvantage and Poor Mental Health: A Systematic Review. </w:t>
      </w:r>
      <w:r w:rsidRPr="00D6644C">
        <w:rPr>
          <w:rFonts w:eastAsia="Calibri" w:cs="Arial"/>
          <w:i/>
          <w:color w:val="212121"/>
          <w:sz w:val="20"/>
          <w:szCs w:val="20"/>
          <w:highlight w:val="white"/>
        </w:rPr>
        <w:t>American journal of preventive medicine</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57</w:t>
      </w:r>
      <w:r w:rsidRPr="00D6644C">
        <w:rPr>
          <w:rFonts w:eastAsia="Calibri" w:cs="Arial"/>
          <w:color w:val="212121"/>
          <w:sz w:val="20"/>
          <w:szCs w:val="20"/>
          <w:highlight w:val="white"/>
        </w:rPr>
        <w:t xml:space="preserve">(2), 262–272. </w:t>
      </w:r>
      <w:hyperlink r:id="rId52">
        <w:r w:rsidRPr="00D6644C">
          <w:rPr>
            <w:rFonts w:eastAsia="Calibri" w:cs="Arial"/>
            <w:color w:val="1155CC"/>
            <w:sz w:val="20"/>
            <w:szCs w:val="20"/>
            <w:highlight w:val="white"/>
            <w:u w:val="single"/>
          </w:rPr>
          <w:t>https://doi.org/10.1016/j.amepre.2019.03.018</w:t>
        </w:r>
      </w:hyperlink>
    </w:p>
  </w:endnote>
  <w:endnote w:id="36">
    <w:p w14:paraId="7F1FD623" w14:textId="77777777" w:rsidR="00266D65" w:rsidRPr="00D6644C" w:rsidRDefault="00266D65">
      <w:pPr>
        <w:spacing w:after="0" w:line="240" w:lineRule="auto"/>
        <w:rPr>
          <w:rFonts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sz w:val="20"/>
          <w:szCs w:val="20"/>
        </w:rPr>
        <w:t xml:space="preserve">Thompson, H, and Thomas, S. Developing empirically supported theories of change for housing investment and health. </w:t>
      </w:r>
      <w:r w:rsidRPr="00D6644C">
        <w:rPr>
          <w:rFonts w:eastAsia="Calibri" w:cs="Arial"/>
          <w:i/>
          <w:sz w:val="20"/>
          <w:szCs w:val="20"/>
        </w:rPr>
        <w:t xml:space="preserve">Social Science and Medicine (2015) </w:t>
      </w:r>
      <w:hyperlink r:id="rId53">
        <w:r w:rsidRPr="00D6644C">
          <w:rPr>
            <w:rFonts w:eastAsia="Calibri" w:cs="Arial"/>
            <w:color w:val="1155CC"/>
            <w:sz w:val="20"/>
            <w:szCs w:val="20"/>
            <w:u w:val="single"/>
          </w:rPr>
          <w:t>https://doi.org/10.1016/j.socscimed.2014.11.043</w:t>
        </w:r>
      </w:hyperlink>
    </w:p>
  </w:endnote>
  <w:endnote w:id="37">
    <w:p w14:paraId="7F1FD624" w14:textId="77777777" w:rsidR="00266D65" w:rsidRPr="00D6644C" w:rsidRDefault="00266D65">
      <w:pPr>
        <w:spacing w:after="0" w:line="240" w:lineRule="auto"/>
        <w:rPr>
          <w:rFonts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sz w:val="20"/>
          <w:szCs w:val="20"/>
        </w:rPr>
        <w:t xml:space="preserve">Thompson, H, and Thomas, S. Developing empirically supported theories of change for housing investment and health. </w:t>
      </w:r>
      <w:r w:rsidRPr="00D6644C">
        <w:rPr>
          <w:rFonts w:eastAsia="Calibri" w:cs="Arial"/>
          <w:i/>
          <w:sz w:val="20"/>
          <w:szCs w:val="20"/>
        </w:rPr>
        <w:t xml:space="preserve">Social Science and Medicine (2015) </w:t>
      </w:r>
      <w:hyperlink r:id="rId54">
        <w:r w:rsidRPr="00D6644C">
          <w:rPr>
            <w:rFonts w:eastAsia="Calibri" w:cs="Arial"/>
            <w:color w:val="1155CC"/>
            <w:sz w:val="20"/>
            <w:szCs w:val="20"/>
            <w:u w:val="single"/>
          </w:rPr>
          <w:t>https://doi.org/10.1016/j.socscimed.2014.11.043</w:t>
        </w:r>
      </w:hyperlink>
    </w:p>
  </w:endnote>
  <w:endnote w:id="38">
    <w:p w14:paraId="7F1FD625" w14:textId="77777777" w:rsidR="00266D65" w:rsidRPr="00D6644C" w:rsidRDefault="00266D65">
      <w:pPr>
        <w:spacing w:after="0" w:line="240" w:lineRule="auto"/>
        <w:rPr>
          <w:rFonts w:eastAsia="Calibri"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55">
        <w:r w:rsidRPr="00D6644C">
          <w:rPr>
            <w:rFonts w:eastAsia="Calibri" w:cs="Arial"/>
            <w:color w:val="1155CC"/>
            <w:sz w:val="20"/>
            <w:szCs w:val="20"/>
            <w:highlight w:val="white"/>
            <w:u w:val="single"/>
          </w:rPr>
          <w:t>https://doi.org/10.1016/j.socscimed.2019.112571</w:t>
        </w:r>
      </w:hyperlink>
      <w:r w:rsidRPr="00D6644C">
        <w:rPr>
          <w:rFonts w:eastAsia="Calibri" w:cs="Arial"/>
          <w:color w:val="212121"/>
          <w:sz w:val="20"/>
          <w:szCs w:val="20"/>
          <w:highlight w:val="white"/>
        </w:rPr>
        <w:t xml:space="preserve"> </w:t>
      </w:r>
    </w:p>
  </w:endnote>
  <w:endnote w:id="39">
    <w:p w14:paraId="7F1FD626" w14:textId="77777777" w:rsidR="00266D65" w:rsidRPr="00D6644C" w:rsidRDefault="00266D65">
      <w:pPr>
        <w:spacing w:after="0" w:line="240" w:lineRule="auto"/>
        <w:rPr>
          <w:rFonts w:eastAsia="Calibri" w:cs="Arial"/>
          <w:sz w:val="20"/>
          <w:szCs w:val="20"/>
        </w:rPr>
      </w:pPr>
      <w:r w:rsidRPr="00D6644C">
        <w:rPr>
          <w:rStyle w:val="EndnoteReference"/>
          <w:rFonts w:cs="Arial"/>
          <w:sz w:val="20"/>
          <w:szCs w:val="20"/>
        </w:rPr>
        <w:endnoteRef/>
      </w:r>
      <w:r w:rsidRPr="00D6644C">
        <w:rPr>
          <w:rFonts w:eastAsia="Calibri"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56">
        <w:r w:rsidRPr="00D6644C">
          <w:rPr>
            <w:rFonts w:eastAsia="Calibri" w:cs="Arial"/>
            <w:color w:val="1155CC"/>
            <w:sz w:val="20"/>
            <w:szCs w:val="20"/>
            <w:highlight w:val="white"/>
            <w:u w:val="single"/>
          </w:rPr>
          <w:t>https://doi.org/10.1016/j.socscimed.2019.112571</w:t>
        </w:r>
      </w:hyperlink>
      <w:r w:rsidRPr="00D6644C">
        <w:rPr>
          <w:rFonts w:eastAsia="Calibri" w:cs="Arial"/>
          <w:color w:val="212121"/>
          <w:sz w:val="20"/>
          <w:szCs w:val="20"/>
          <w:highlight w:val="white"/>
        </w:rPr>
        <w:t xml:space="preserve"> </w:t>
      </w:r>
    </w:p>
  </w:endnote>
  <w:endnote w:id="40">
    <w:p w14:paraId="7F1FD627" w14:textId="77777777" w:rsidR="00266D65" w:rsidRPr="00D6644C" w:rsidRDefault="00266D65">
      <w:pPr>
        <w:spacing w:after="0" w:line="240" w:lineRule="auto"/>
        <w:rPr>
          <w:rFonts w:eastAsia="Calibri" w:cs="Arial"/>
          <w:color w:val="212121"/>
          <w:sz w:val="20"/>
          <w:szCs w:val="20"/>
        </w:rPr>
      </w:pPr>
      <w:r w:rsidRPr="00D6644C">
        <w:rPr>
          <w:rStyle w:val="EndnoteReference"/>
          <w:rFonts w:cs="Arial"/>
          <w:sz w:val="20"/>
          <w:szCs w:val="20"/>
        </w:rPr>
        <w:endnoteRef/>
      </w:r>
      <w:r w:rsidRPr="00D6644C">
        <w:rPr>
          <w:rFonts w:eastAsia="Calibri"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57">
        <w:r w:rsidRPr="00D6644C">
          <w:rPr>
            <w:rFonts w:eastAsia="Calibri" w:cs="Arial"/>
            <w:color w:val="1155CC"/>
            <w:sz w:val="20"/>
            <w:szCs w:val="20"/>
            <w:highlight w:val="white"/>
            <w:u w:val="single"/>
          </w:rPr>
          <w:t>https://doi.org/10.1016/j.socscimed.2019.112571</w:t>
        </w:r>
      </w:hyperlink>
      <w:r w:rsidRPr="00D6644C">
        <w:rPr>
          <w:rFonts w:eastAsia="Calibri" w:cs="Arial"/>
          <w:color w:val="212121"/>
          <w:sz w:val="20"/>
          <w:szCs w:val="20"/>
          <w:highlight w:val="white"/>
        </w:rPr>
        <w:t xml:space="preserve"> </w:t>
      </w:r>
    </w:p>
    <w:p w14:paraId="3BF8B625" w14:textId="236FAE32" w:rsidR="005457A0" w:rsidRPr="00123687" w:rsidRDefault="005457A0" w:rsidP="00D6644C">
      <w:pPr>
        <w:rPr>
          <w:rFonts w:cs="Arial"/>
          <w:b/>
          <w:sz w:val="20"/>
          <w:szCs w:val="20"/>
        </w:rPr>
      </w:pPr>
    </w:p>
  </w:endnote>
  <w:endnote w:id="41">
    <w:p w14:paraId="7F1FD628" w14:textId="77777777" w:rsidR="00266D65" w:rsidRPr="00D6644C" w:rsidRDefault="00266D65" w:rsidP="00D6644C">
      <w:pPr>
        <w:rPr>
          <w:rFonts w:eastAsia="Calibri" w:cs="Arial"/>
          <w:color w:val="000000"/>
          <w:sz w:val="20"/>
          <w:szCs w:val="20"/>
        </w:rPr>
      </w:pPr>
      <w:r w:rsidRPr="00D6644C">
        <w:rPr>
          <w:rStyle w:val="EndnoteReference"/>
          <w:rFonts w:cs="Arial"/>
          <w:sz w:val="20"/>
          <w:szCs w:val="20"/>
        </w:rPr>
        <w:endnoteRef/>
      </w:r>
      <w:r w:rsidRPr="00D6644C">
        <w:rPr>
          <w:rFonts w:eastAsia="Calibri" w:cs="Arial"/>
          <w:color w:val="000000"/>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58">
        <w:r w:rsidRPr="00D6644C">
          <w:rPr>
            <w:rFonts w:eastAsia="Calibri" w:cs="Arial"/>
            <w:color w:val="1155CC"/>
            <w:sz w:val="20"/>
            <w:szCs w:val="20"/>
            <w:highlight w:val="white"/>
            <w:u w:val="single"/>
          </w:rPr>
          <w:t>https://doi.org/10.1016/j.socscimed.2019.112571</w:t>
        </w:r>
      </w:hyperlink>
      <w:r w:rsidRPr="00D6644C">
        <w:rPr>
          <w:rFonts w:eastAsia="Calibri" w:cs="Arial"/>
          <w:sz w:val="20"/>
          <w:szCs w:val="20"/>
        </w:rPr>
        <w:t xml:space="preserve">; Thompson, H, and Thomas, S. Developing empirically supported theories of change for housing investment and health. </w:t>
      </w:r>
      <w:r w:rsidRPr="00D6644C">
        <w:rPr>
          <w:rFonts w:eastAsia="Calibri" w:cs="Arial"/>
          <w:i/>
          <w:sz w:val="20"/>
          <w:szCs w:val="20"/>
        </w:rPr>
        <w:t xml:space="preserve">Social Science and Medicine (2015) </w:t>
      </w:r>
      <w:hyperlink r:id="rId59">
        <w:r w:rsidRPr="00D6644C">
          <w:rPr>
            <w:rFonts w:eastAsia="Calibri" w:cs="Arial"/>
            <w:color w:val="1155CC"/>
            <w:sz w:val="20"/>
            <w:szCs w:val="20"/>
            <w:u w:val="single"/>
          </w:rPr>
          <w:t>https://doi.org/10.1016/j.socscimed.2014.11.043</w:t>
        </w:r>
      </w:hyperlink>
    </w:p>
  </w:endnote>
  <w:endnote w:id="42">
    <w:p w14:paraId="7F1FD629" w14:textId="77777777" w:rsidR="00266D65" w:rsidRPr="00D6644C" w:rsidRDefault="00266D65" w:rsidP="00D6644C">
      <w:pPr>
        <w:rPr>
          <w:rFonts w:eastAsia="Calibri" w:cs="Arial"/>
          <w:color w:val="000000"/>
          <w:sz w:val="20"/>
          <w:szCs w:val="20"/>
        </w:rPr>
      </w:pPr>
      <w:r w:rsidRPr="00D6644C">
        <w:rPr>
          <w:rStyle w:val="EndnoteReference"/>
          <w:rFonts w:cs="Arial"/>
          <w:sz w:val="20"/>
          <w:szCs w:val="20"/>
        </w:rPr>
        <w:endnoteRef/>
      </w:r>
      <w:r w:rsidRPr="00D6644C">
        <w:rPr>
          <w:rFonts w:eastAsia="Calibri" w:cs="Arial"/>
          <w:color w:val="000000"/>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60">
        <w:r w:rsidRPr="00D6644C">
          <w:rPr>
            <w:rFonts w:eastAsia="Calibri" w:cs="Arial"/>
            <w:color w:val="1155CC"/>
            <w:sz w:val="20"/>
            <w:szCs w:val="20"/>
            <w:highlight w:val="white"/>
            <w:u w:val="single"/>
          </w:rPr>
          <w:t>https://doi.org/10.1016/j.socscimed.2019.112571</w:t>
        </w:r>
      </w:hyperlink>
      <w:r w:rsidRPr="00D6644C">
        <w:rPr>
          <w:rFonts w:eastAsia="Calibri" w:cs="Arial"/>
          <w:color w:val="000000"/>
          <w:sz w:val="20"/>
          <w:szCs w:val="20"/>
        </w:rPr>
        <w:t xml:space="preserve">, </w:t>
      </w:r>
      <w:r w:rsidRPr="00D6644C">
        <w:rPr>
          <w:rFonts w:eastAsia="Calibri" w:cs="Arial"/>
          <w:color w:val="333333"/>
          <w:sz w:val="20"/>
          <w:szCs w:val="20"/>
        </w:rPr>
        <w:t>Leifheit KM, Schwartz GL, Pollack CE</w:t>
      </w:r>
      <w:r w:rsidRPr="00D6644C">
        <w:rPr>
          <w:rFonts w:eastAsia="Calibri" w:cs="Arial"/>
          <w:i/>
          <w:color w:val="333333"/>
          <w:sz w:val="20"/>
          <w:szCs w:val="20"/>
        </w:rPr>
        <w:t xml:space="preserve">, et </w:t>
      </w:r>
      <w:proofErr w:type="spellStart"/>
      <w:r w:rsidRPr="00D6644C">
        <w:rPr>
          <w:rFonts w:eastAsia="Calibri" w:cs="Arial"/>
          <w:i/>
          <w:color w:val="333333"/>
          <w:sz w:val="20"/>
          <w:szCs w:val="20"/>
        </w:rPr>
        <w:t>al</w:t>
      </w:r>
      <w:r w:rsidRPr="00D6644C">
        <w:rPr>
          <w:rFonts w:eastAsia="Calibri" w:cs="Arial"/>
          <w:color w:val="333333"/>
          <w:sz w:val="20"/>
          <w:szCs w:val="20"/>
        </w:rPr>
        <w:t>Building</w:t>
      </w:r>
      <w:proofErr w:type="spellEnd"/>
      <w:r w:rsidRPr="00D6644C">
        <w:rPr>
          <w:rFonts w:eastAsia="Calibri" w:cs="Arial"/>
          <w:color w:val="333333"/>
          <w:sz w:val="20"/>
          <w:szCs w:val="20"/>
        </w:rPr>
        <w:t xml:space="preserve"> health equity through housing policies: critical reflections and future directions for </w:t>
      </w:r>
      <w:proofErr w:type="spellStart"/>
      <w:r w:rsidRPr="00D6644C">
        <w:rPr>
          <w:rFonts w:eastAsia="Calibri" w:cs="Arial"/>
          <w:color w:val="333333"/>
          <w:sz w:val="20"/>
          <w:szCs w:val="20"/>
        </w:rPr>
        <w:t>research</w:t>
      </w:r>
      <w:r w:rsidRPr="00D6644C">
        <w:rPr>
          <w:rFonts w:eastAsia="Calibri" w:cs="Arial"/>
          <w:i/>
          <w:color w:val="333333"/>
          <w:sz w:val="20"/>
          <w:szCs w:val="20"/>
        </w:rPr>
        <w:t>J</w:t>
      </w:r>
      <w:proofErr w:type="spellEnd"/>
      <w:r w:rsidRPr="00D6644C">
        <w:rPr>
          <w:rFonts w:eastAsia="Calibri" w:cs="Arial"/>
          <w:i/>
          <w:color w:val="333333"/>
          <w:sz w:val="20"/>
          <w:szCs w:val="20"/>
        </w:rPr>
        <w:t xml:space="preserve"> </w:t>
      </w:r>
      <w:proofErr w:type="spellStart"/>
      <w:r w:rsidRPr="00D6644C">
        <w:rPr>
          <w:rFonts w:eastAsia="Calibri" w:cs="Arial"/>
          <w:i/>
          <w:color w:val="333333"/>
          <w:sz w:val="20"/>
          <w:szCs w:val="20"/>
        </w:rPr>
        <w:t>Epidemiol</w:t>
      </w:r>
      <w:proofErr w:type="spellEnd"/>
      <w:r w:rsidRPr="00D6644C">
        <w:rPr>
          <w:rFonts w:eastAsia="Calibri" w:cs="Arial"/>
          <w:i/>
          <w:color w:val="333333"/>
          <w:sz w:val="20"/>
          <w:szCs w:val="20"/>
        </w:rPr>
        <w:t xml:space="preserve"> Community Health </w:t>
      </w:r>
      <w:r w:rsidRPr="00D6644C">
        <w:rPr>
          <w:rFonts w:eastAsia="Calibri" w:cs="Arial"/>
          <w:color w:val="333333"/>
          <w:sz w:val="20"/>
          <w:szCs w:val="20"/>
        </w:rPr>
        <w:t>2022;</w:t>
      </w:r>
      <w:r w:rsidRPr="00D6644C">
        <w:rPr>
          <w:rFonts w:eastAsia="Calibri" w:cs="Arial"/>
          <w:b/>
          <w:color w:val="333333"/>
          <w:sz w:val="20"/>
          <w:szCs w:val="20"/>
        </w:rPr>
        <w:t>76:</w:t>
      </w:r>
      <w:r w:rsidRPr="00D6644C">
        <w:rPr>
          <w:rFonts w:eastAsia="Calibri" w:cs="Arial"/>
          <w:color w:val="333333"/>
          <w:sz w:val="20"/>
          <w:szCs w:val="20"/>
        </w:rPr>
        <w:t>759-763.</w:t>
      </w:r>
    </w:p>
  </w:endnote>
  <w:endnote w:id="43">
    <w:p w14:paraId="7F1FD62A" w14:textId="77777777" w:rsidR="00266D65" w:rsidRPr="00D6644C" w:rsidRDefault="00266D65" w:rsidP="00D6644C">
      <w:pPr>
        <w:rPr>
          <w:rFonts w:eastAsia="Calibri"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61">
        <w:r w:rsidRPr="00D6644C">
          <w:rPr>
            <w:rFonts w:eastAsia="Calibri" w:cs="Arial"/>
            <w:color w:val="1155CC"/>
            <w:sz w:val="20"/>
            <w:szCs w:val="20"/>
            <w:highlight w:val="white"/>
            <w:u w:val="single"/>
          </w:rPr>
          <w:t>https://doi.org/10.1016/j.socscimed.2019.112571</w:t>
        </w:r>
      </w:hyperlink>
      <w:r w:rsidRPr="00D6644C">
        <w:rPr>
          <w:rFonts w:eastAsia="Calibri" w:cs="Arial"/>
          <w:color w:val="212121"/>
          <w:sz w:val="20"/>
          <w:szCs w:val="20"/>
          <w:highlight w:val="white"/>
        </w:rPr>
        <w:t xml:space="preserve"> </w:t>
      </w:r>
    </w:p>
  </w:endnote>
  <w:endnote w:id="44">
    <w:p w14:paraId="7F1FD62B" w14:textId="77777777" w:rsidR="00266D65" w:rsidRPr="00D6644C" w:rsidRDefault="00266D65" w:rsidP="00D6644C">
      <w:pPr>
        <w:rPr>
          <w:rFonts w:eastAsia="Calibri" w:cs="Arial"/>
          <w:sz w:val="20"/>
          <w:szCs w:val="20"/>
          <w:highlight w:val="yellow"/>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62">
        <w:r w:rsidRPr="00D6644C">
          <w:rPr>
            <w:rFonts w:eastAsia="Calibri" w:cs="Arial"/>
            <w:color w:val="1155CC"/>
            <w:sz w:val="20"/>
            <w:szCs w:val="20"/>
            <w:highlight w:val="white"/>
            <w:u w:val="single"/>
          </w:rPr>
          <w:t>https://doi.org/10.1016/j.socscimed.2019.112571</w:t>
        </w:r>
      </w:hyperlink>
      <w:r w:rsidRPr="00D6644C">
        <w:rPr>
          <w:rFonts w:eastAsia="Calibri" w:cs="Arial"/>
          <w:sz w:val="20"/>
          <w:szCs w:val="20"/>
        </w:rPr>
        <w:t xml:space="preserve">; Thompson, H, and Thomas, S. Developing empirically supported theories of change for housing investment and health. </w:t>
      </w:r>
      <w:r w:rsidRPr="00D6644C">
        <w:rPr>
          <w:rFonts w:eastAsia="Calibri" w:cs="Arial"/>
          <w:i/>
          <w:sz w:val="20"/>
          <w:szCs w:val="20"/>
        </w:rPr>
        <w:t xml:space="preserve">Social Science and Medicine (2015) </w:t>
      </w:r>
      <w:hyperlink r:id="rId63">
        <w:r w:rsidRPr="00D6644C">
          <w:rPr>
            <w:rFonts w:eastAsia="Calibri" w:cs="Arial"/>
            <w:color w:val="1155CC"/>
            <w:sz w:val="20"/>
            <w:szCs w:val="20"/>
            <w:u w:val="single"/>
          </w:rPr>
          <w:t>https://doi.org/10.1016/j.socscimed.2014.11.043</w:t>
        </w:r>
      </w:hyperlink>
      <w:r w:rsidRPr="00D6644C">
        <w:rPr>
          <w:rFonts w:eastAsia="Calibri" w:cs="Arial"/>
          <w:color w:val="212121"/>
          <w:sz w:val="20"/>
          <w:szCs w:val="20"/>
          <w:highlight w:val="white"/>
        </w:rPr>
        <w:t xml:space="preserve">; Thomson, H., Thomas, S., Sellstrom, E., &amp; Petticrew, M. (2013). Housing improvements for health and associated socio-economic outcomes. </w:t>
      </w:r>
      <w:r w:rsidRPr="00D6644C">
        <w:rPr>
          <w:rFonts w:eastAsia="Calibri" w:cs="Arial"/>
          <w:i/>
          <w:color w:val="212121"/>
          <w:sz w:val="20"/>
          <w:szCs w:val="20"/>
          <w:highlight w:val="white"/>
        </w:rPr>
        <w:t>The Cochrane database of systematic reviews</w:t>
      </w:r>
      <w:r w:rsidRPr="00D6644C">
        <w:rPr>
          <w:rFonts w:eastAsia="Calibri" w:cs="Arial"/>
          <w:color w:val="212121"/>
          <w:sz w:val="20"/>
          <w:szCs w:val="20"/>
          <w:highlight w:val="white"/>
        </w:rPr>
        <w:t xml:space="preserve">, (2), CD008657. </w:t>
      </w:r>
      <w:hyperlink r:id="rId64">
        <w:r w:rsidRPr="00D6644C">
          <w:rPr>
            <w:rFonts w:eastAsia="Calibri" w:cs="Arial"/>
            <w:color w:val="1155CC"/>
            <w:sz w:val="20"/>
            <w:szCs w:val="20"/>
            <w:highlight w:val="white"/>
            <w:u w:val="single"/>
          </w:rPr>
          <w:t>https://doi.org/10.1002/14651858.CD008657.pub2</w:t>
        </w:r>
      </w:hyperlink>
      <w:r w:rsidRPr="00D6644C">
        <w:rPr>
          <w:rFonts w:eastAsia="Calibri" w:cs="Arial"/>
          <w:color w:val="212121"/>
          <w:sz w:val="20"/>
          <w:szCs w:val="20"/>
          <w:highlight w:val="white"/>
        </w:rPr>
        <w:t xml:space="preserve"> </w:t>
      </w:r>
    </w:p>
  </w:endnote>
  <w:endnote w:id="45">
    <w:p w14:paraId="7F1FD62C" w14:textId="77777777" w:rsidR="00266D65" w:rsidRPr="00D6644C" w:rsidRDefault="00266D65" w:rsidP="00D6644C">
      <w:pPr>
        <w:rPr>
          <w:rFonts w:eastAsia="Calibri" w:cs="Arial"/>
          <w:color w:val="000000"/>
          <w:sz w:val="20"/>
          <w:szCs w:val="20"/>
        </w:rPr>
      </w:pPr>
      <w:r w:rsidRPr="00D6644C">
        <w:rPr>
          <w:rStyle w:val="EndnoteReference"/>
          <w:rFonts w:cs="Arial"/>
          <w:sz w:val="20"/>
          <w:szCs w:val="20"/>
        </w:rPr>
        <w:endnoteRef/>
      </w:r>
      <w:r w:rsidRPr="00D6644C">
        <w:rPr>
          <w:rFonts w:eastAsia="Calibri" w:cs="Arial"/>
          <w:color w:val="000000"/>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65">
        <w:r w:rsidRPr="00D6644C">
          <w:rPr>
            <w:rFonts w:eastAsia="Calibri" w:cs="Arial"/>
            <w:color w:val="1155CC"/>
            <w:sz w:val="20"/>
            <w:szCs w:val="20"/>
            <w:highlight w:val="white"/>
            <w:u w:val="single"/>
          </w:rPr>
          <w:t>https://doi.org/10.1016/j.socscimed.2019.112571</w:t>
        </w:r>
      </w:hyperlink>
      <w:r w:rsidRPr="00D6644C">
        <w:rPr>
          <w:rFonts w:eastAsia="Calibri" w:cs="Arial"/>
          <w:color w:val="212121"/>
          <w:sz w:val="20"/>
          <w:szCs w:val="20"/>
          <w:highlight w:val="white"/>
        </w:rPr>
        <w:t xml:space="preserve"> </w:t>
      </w:r>
    </w:p>
  </w:endnote>
  <w:endnote w:id="46">
    <w:p w14:paraId="7F1FD62D" w14:textId="77777777" w:rsidR="00266D65" w:rsidRPr="00D6644C" w:rsidRDefault="00266D65" w:rsidP="00D6644C">
      <w:pPr>
        <w:rPr>
          <w:rFonts w:eastAsia="Calibri" w:cs="Arial"/>
          <w:sz w:val="20"/>
          <w:szCs w:val="20"/>
        </w:rPr>
      </w:pPr>
      <w:r w:rsidRPr="00D6644C">
        <w:rPr>
          <w:rStyle w:val="EndnoteReference"/>
          <w:rFonts w:cs="Arial"/>
          <w:sz w:val="20"/>
          <w:szCs w:val="20"/>
        </w:rPr>
        <w:endnoteRef/>
      </w:r>
      <w:r w:rsidRPr="00D6644C">
        <w:rPr>
          <w:rFonts w:eastAsia="Calibri"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66">
        <w:r w:rsidRPr="00D6644C">
          <w:rPr>
            <w:rFonts w:eastAsia="Calibri" w:cs="Arial"/>
            <w:color w:val="1155CC"/>
            <w:sz w:val="20"/>
            <w:szCs w:val="20"/>
            <w:highlight w:val="white"/>
            <w:u w:val="single"/>
          </w:rPr>
          <w:t>https://doi.org/10.1016/j.socscimed.2019.112571</w:t>
        </w:r>
      </w:hyperlink>
      <w:r w:rsidRPr="00D6644C">
        <w:rPr>
          <w:rFonts w:eastAsia="Calibri" w:cs="Arial"/>
          <w:sz w:val="20"/>
          <w:szCs w:val="20"/>
        </w:rPr>
        <w:t xml:space="preserve">; Thompson, H, and Thomas, S. Developing empirically supported theories of change for housing investment and health. </w:t>
      </w:r>
      <w:r w:rsidRPr="00D6644C">
        <w:rPr>
          <w:rFonts w:eastAsia="Calibri" w:cs="Arial"/>
          <w:i/>
          <w:sz w:val="20"/>
          <w:szCs w:val="20"/>
        </w:rPr>
        <w:t xml:space="preserve">Social Science and Medicine (2015) </w:t>
      </w:r>
      <w:hyperlink r:id="rId67">
        <w:r w:rsidRPr="00D6644C">
          <w:rPr>
            <w:rFonts w:eastAsia="Calibri" w:cs="Arial"/>
            <w:color w:val="1155CC"/>
            <w:sz w:val="20"/>
            <w:szCs w:val="20"/>
            <w:u w:val="single"/>
          </w:rPr>
          <w:t>https://doi.org/10.1016/j.socscimed.2014.11.043</w:t>
        </w:r>
      </w:hyperlink>
      <w:r w:rsidRPr="00D6644C">
        <w:rPr>
          <w:rFonts w:eastAsia="Calibri" w:cs="Arial"/>
          <w:sz w:val="20"/>
          <w:szCs w:val="20"/>
        </w:rPr>
        <w:t xml:space="preserve">; </w:t>
      </w:r>
      <w:r w:rsidRPr="00D6644C">
        <w:rPr>
          <w:rFonts w:eastAsia="Calibri" w:cs="Arial"/>
          <w:color w:val="333333"/>
          <w:sz w:val="20"/>
          <w:szCs w:val="20"/>
          <w:highlight w:val="white"/>
        </w:rPr>
        <w:t xml:space="preserve">Rolfe, S., Garnham, L., Godwin, J. </w:t>
      </w:r>
      <w:r w:rsidRPr="00D6644C">
        <w:rPr>
          <w:rFonts w:eastAsia="Calibri" w:cs="Arial"/>
          <w:i/>
          <w:color w:val="333333"/>
          <w:sz w:val="20"/>
          <w:szCs w:val="20"/>
          <w:highlight w:val="white"/>
        </w:rPr>
        <w:t>et al.</w:t>
      </w:r>
      <w:r w:rsidRPr="00D6644C">
        <w:rPr>
          <w:rFonts w:eastAsia="Calibri" w:cs="Arial"/>
          <w:color w:val="333333"/>
          <w:sz w:val="20"/>
          <w:szCs w:val="20"/>
          <w:highlight w:val="white"/>
        </w:rPr>
        <w:t xml:space="preserve"> Housing as a social determinant of health and wellbeing: developing an empirically-informed realist theoretical framework. </w:t>
      </w:r>
      <w:r w:rsidRPr="00D6644C">
        <w:rPr>
          <w:rFonts w:eastAsia="Calibri" w:cs="Arial"/>
          <w:i/>
          <w:color w:val="333333"/>
          <w:sz w:val="20"/>
          <w:szCs w:val="20"/>
          <w:highlight w:val="white"/>
        </w:rPr>
        <w:t>BMC Public Health</w:t>
      </w:r>
      <w:r w:rsidRPr="00D6644C">
        <w:rPr>
          <w:rFonts w:eastAsia="Calibri" w:cs="Arial"/>
          <w:color w:val="333333"/>
          <w:sz w:val="20"/>
          <w:szCs w:val="20"/>
          <w:highlight w:val="white"/>
        </w:rPr>
        <w:t xml:space="preserve"> 20, 1138 (2020). </w:t>
      </w:r>
      <w:hyperlink r:id="rId68">
        <w:r w:rsidRPr="00D6644C">
          <w:rPr>
            <w:rFonts w:eastAsia="Calibri" w:cs="Arial"/>
            <w:color w:val="1155CC"/>
            <w:sz w:val="20"/>
            <w:szCs w:val="20"/>
            <w:highlight w:val="white"/>
            <w:u w:val="single"/>
          </w:rPr>
          <w:t>https://doi.org/10.1186/s12889-020-09224-0</w:t>
        </w:r>
      </w:hyperlink>
      <w:r w:rsidRPr="00D6644C">
        <w:rPr>
          <w:rFonts w:eastAsia="Calibri" w:cs="Arial"/>
          <w:color w:val="333333"/>
          <w:sz w:val="20"/>
          <w:szCs w:val="20"/>
          <w:highlight w:val="white"/>
        </w:rPr>
        <w:t xml:space="preserve"> </w:t>
      </w:r>
    </w:p>
  </w:endnote>
  <w:endnote w:id="47">
    <w:p w14:paraId="7F1FD62E" w14:textId="77777777" w:rsidR="00266D65" w:rsidRPr="00D6644C" w:rsidRDefault="00266D65" w:rsidP="00D6644C">
      <w:pPr>
        <w:rPr>
          <w:rFonts w:cs="Arial"/>
          <w:sz w:val="20"/>
          <w:szCs w:val="20"/>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sz w:val="20"/>
          <w:szCs w:val="20"/>
        </w:rPr>
        <w:t xml:space="preserve"> </w:t>
      </w:r>
      <w:r w:rsidRPr="00D6644C">
        <w:rPr>
          <w:rFonts w:eastAsia="Calibri" w:cs="Arial"/>
          <w:color w:val="333333"/>
          <w:sz w:val="20"/>
          <w:szCs w:val="20"/>
        </w:rPr>
        <w:t>Leifheit KM, Schwartz GL, Pollack CE</w:t>
      </w:r>
      <w:r w:rsidRPr="00D6644C">
        <w:rPr>
          <w:rFonts w:eastAsia="Calibri" w:cs="Arial"/>
          <w:i/>
          <w:color w:val="333333"/>
          <w:sz w:val="20"/>
          <w:szCs w:val="20"/>
        </w:rPr>
        <w:t xml:space="preserve">, et </w:t>
      </w:r>
      <w:proofErr w:type="spellStart"/>
      <w:r w:rsidRPr="00D6644C">
        <w:rPr>
          <w:rFonts w:eastAsia="Calibri" w:cs="Arial"/>
          <w:i/>
          <w:color w:val="333333"/>
          <w:sz w:val="20"/>
          <w:szCs w:val="20"/>
        </w:rPr>
        <w:t>al</w:t>
      </w:r>
      <w:r w:rsidRPr="00D6644C">
        <w:rPr>
          <w:rFonts w:eastAsia="Calibri" w:cs="Arial"/>
          <w:color w:val="333333"/>
          <w:sz w:val="20"/>
          <w:szCs w:val="20"/>
        </w:rPr>
        <w:t>Building</w:t>
      </w:r>
      <w:proofErr w:type="spellEnd"/>
      <w:r w:rsidRPr="00D6644C">
        <w:rPr>
          <w:rFonts w:eastAsia="Calibri" w:cs="Arial"/>
          <w:color w:val="333333"/>
          <w:sz w:val="20"/>
          <w:szCs w:val="20"/>
        </w:rPr>
        <w:t xml:space="preserve"> health equity through housing policies: critical reflections and future directions for </w:t>
      </w:r>
      <w:proofErr w:type="spellStart"/>
      <w:r w:rsidRPr="00D6644C">
        <w:rPr>
          <w:rFonts w:eastAsia="Calibri" w:cs="Arial"/>
          <w:color w:val="333333"/>
          <w:sz w:val="20"/>
          <w:szCs w:val="20"/>
        </w:rPr>
        <w:t>research</w:t>
      </w:r>
      <w:r w:rsidRPr="00D6644C">
        <w:rPr>
          <w:rFonts w:eastAsia="Calibri" w:cs="Arial"/>
          <w:i/>
          <w:color w:val="333333"/>
          <w:sz w:val="20"/>
          <w:szCs w:val="20"/>
        </w:rPr>
        <w:t>J</w:t>
      </w:r>
      <w:proofErr w:type="spellEnd"/>
      <w:r w:rsidRPr="00D6644C">
        <w:rPr>
          <w:rFonts w:eastAsia="Calibri" w:cs="Arial"/>
          <w:i/>
          <w:color w:val="333333"/>
          <w:sz w:val="20"/>
          <w:szCs w:val="20"/>
        </w:rPr>
        <w:t xml:space="preserve"> </w:t>
      </w:r>
      <w:proofErr w:type="spellStart"/>
      <w:r w:rsidRPr="00D6644C">
        <w:rPr>
          <w:rFonts w:eastAsia="Calibri" w:cs="Arial"/>
          <w:i/>
          <w:color w:val="333333"/>
          <w:sz w:val="20"/>
          <w:szCs w:val="20"/>
        </w:rPr>
        <w:t>Epidemiol</w:t>
      </w:r>
      <w:proofErr w:type="spellEnd"/>
      <w:r w:rsidRPr="00D6644C">
        <w:rPr>
          <w:rFonts w:eastAsia="Calibri" w:cs="Arial"/>
          <w:i/>
          <w:color w:val="333333"/>
          <w:sz w:val="20"/>
          <w:szCs w:val="20"/>
        </w:rPr>
        <w:t xml:space="preserve"> Community Health </w:t>
      </w:r>
      <w:r w:rsidRPr="00D6644C">
        <w:rPr>
          <w:rFonts w:eastAsia="Calibri" w:cs="Arial"/>
          <w:color w:val="333333"/>
          <w:sz w:val="20"/>
          <w:szCs w:val="20"/>
        </w:rPr>
        <w:t>2022;</w:t>
      </w:r>
      <w:r w:rsidRPr="00D6644C">
        <w:rPr>
          <w:rFonts w:eastAsia="Calibri" w:cs="Arial"/>
          <w:b/>
          <w:color w:val="333333"/>
          <w:sz w:val="20"/>
          <w:szCs w:val="20"/>
        </w:rPr>
        <w:t>76:</w:t>
      </w:r>
      <w:r w:rsidRPr="00D6644C">
        <w:rPr>
          <w:rFonts w:eastAsia="Calibri" w:cs="Arial"/>
          <w:color w:val="333333"/>
          <w:sz w:val="20"/>
          <w:szCs w:val="20"/>
        </w:rPr>
        <w:t>759-763.</w:t>
      </w:r>
    </w:p>
  </w:endnote>
  <w:endnote w:id="48">
    <w:p w14:paraId="7F1FD62F" w14:textId="77777777" w:rsidR="00266D65" w:rsidRPr="00D6644C" w:rsidRDefault="00266D65" w:rsidP="00D6644C">
      <w:pPr>
        <w:rPr>
          <w:rFonts w:eastAsia="Calibri" w:cs="Arial"/>
          <w:sz w:val="20"/>
          <w:szCs w:val="20"/>
        </w:rPr>
      </w:pPr>
      <w:r w:rsidRPr="00D6644C">
        <w:rPr>
          <w:rStyle w:val="EndnoteReference"/>
          <w:rFonts w:cs="Arial"/>
          <w:sz w:val="20"/>
          <w:szCs w:val="20"/>
        </w:rPr>
        <w:endnoteRef/>
      </w:r>
      <w:r w:rsidRPr="00D6644C">
        <w:rPr>
          <w:rFonts w:eastAsia="Calibri" w:cs="Arial"/>
          <w:sz w:val="20"/>
          <w:szCs w:val="20"/>
        </w:rPr>
        <w:t xml:space="preserve"> </w:t>
      </w:r>
      <w:r w:rsidRPr="00D6644C">
        <w:rPr>
          <w:rFonts w:eastAsia="Calibri" w:cs="Arial"/>
          <w:color w:val="212121"/>
          <w:sz w:val="20"/>
          <w:szCs w:val="20"/>
          <w:highlight w:val="white"/>
        </w:rPr>
        <w:t xml:space="preserve">Swope, C. B., &amp; Hernández, D. (2019). Housing as a determinant of health equity: A conceptual model. </w:t>
      </w:r>
      <w:r w:rsidRPr="00D6644C">
        <w:rPr>
          <w:rFonts w:eastAsia="Calibri" w:cs="Arial"/>
          <w:i/>
          <w:color w:val="212121"/>
          <w:sz w:val="20"/>
          <w:szCs w:val="20"/>
          <w:highlight w:val="white"/>
        </w:rPr>
        <w:t>Social science &amp; medicine (1982)</w:t>
      </w:r>
      <w:r w:rsidRPr="00D6644C">
        <w:rPr>
          <w:rFonts w:eastAsia="Calibri" w:cs="Arial"/>
          <w:color w:val="212121"/>
          <w:sz w:val="20"/>
          <w:szCs w:val="20"/>
          <w:highlight w:val="white"/>
        </w:rPr>
        <w:t xml:space="preserve">, </w:t>
      </w:r>
      <w:r w:rsidRPr="00D6644C">
        <w:rPr>
          <w:rFonts w:eastAsia="Calibri" w:cs="Arial"/>
          <w:i/>
          <w:color w:val="212121"/>
          <w:sz w:val="20"/>
          <w:szCs w:val="20"/>
          <w:highlight w:val="white"/>
        </w:rPr>
        <w:t>243</w:t>
      </w:r>
      <w:r w:rsidRPr="00D6644C">
        <w:rPr>
          <w:rFonts w:eastAsia="Calibri" w:cs="Arial"/>
          <w:color w:val="212121"/>
          <w:sz w:val="20"/>
          <w:szCs w:val="20"/>
          <w:highlight w:val="white"/>
        </w:rPr>
        <w:t xml:space="preserve">, 112571. </w:t>
      </w:r>
      <w:hyperlink r:id="rId69">
        <w:r w:rsidRPr="00D6644C">
          <w:rPr>
            <w:rFonts w:eastAsia="Calibri" w:cs="Arial"/>
            <w:color w:val="1155CC"/>
            <w:sz w:val="20"/>
            <w:szCs w:val="20"/>
            <w:highlight w:val="white"/>
            <w:u w:val="single"/>
          </w:rPr>
          <w:t>https://doi.org/10.1016/j.socscimed.2019.112571</w:t>
        </w:r>
      </w:hyperlink>
      <w:r w:rsidRPr="00D6644C">
        <w:rPr>
          <w:rFonts w:eastAsia="Calibri" w:cs="Arial"/>
          <w:color w:val="212121"/>
          <w:sz w:val="20"/>
          <w:szCs w:val="20"/>
          <w:highlight w:val="white"/>
        </w:rPr>
        <w:t xml:space="preserve"> </w:t>
      </w:r>
    </w:p>
  </w:endnote>
  <w:endnote w:id="49">
    <w:p w14:paraId="7F1FD630" w14:textId="77777777" w:rsidR="00266D65" w:rsidRDefault="00266D65" w:rsidP="00D6644C">
      <w:pPr>
        <w:rPr>
          <w:rFonts w:eastAsia="Calibri" w:cs="Arial"/>
          <w:color w:val="1155CC"/>
          <w:sz w:val="20"/>
          <w:szCs w:val="20"/>
          <w:u w:val="single"/>
        </w:rPr>
      </w:pPr>
      <w:r w:rsidRPr="00D6644C">
        <w:rPr>
          <w:rStyle w:val="EndnoteReference"/>
          <w:rFonts w:cs="Arial"/>
          <w:sz w:val="20"/>
          <w:szCs w:val="20"/>
        </w:rPr>
        <w:endnoteRef/>
      </w:r>
      <w:r w:rsidRPr="00D6644C">
        <w:rPr>
          <w:rFonts w:cs="Arial"/>
          <w:sz w:val="20"/>
          <w:szCs w:val="20"/>
        </w:rPr>
        <w:t xml:space="preserve"> </w:t>
      </w:r>
      <w:r w:rsidRPr="00D6644C">
        <w:rPr>
          <w:rFonts w:eastAsia="Calibri" w:cs="Arial"/>
          <w:sz w:val="20"/>
          <w:szCs w:val="20"/>
        </w:rPr>
        <w:t xml:space="preserve">Thompson, H, and Thomas, S. Developing empirically supported theories of change for housing investment and health. </w:t>
      </w:r>
      <w:r w:rsidRPr="00D6644C">
        <w:rPr>
          <w:rFonts w:eastAsia="Calibri" w:cs="Arial"/>
          <w:i/>
          <w:sz w:val="20"/>
          <w:szCs w:val="20"/>
        </w:rPr>
        <w:t xml:space="preserve">Social Science and Medicine (2015) </w:t>
      </w:r>
      <w:hyperlink r:id="rId70">
        <w:r w:rsidRPr="00D6644C">
          <w:rPr>
            <w:rFonts w:eastAsia="Calibri" w:cs="Arial"/>
            <w:color w:val="1155CC"/>
            <w:sz w:val="20"/>
            <w:szCs w:val="20"/>
            <w:u w:val="single"/>
          </w:rPr>
          <w:t>https://doi.org/10.1016/j.socscimed.2014.11.043</w:t>
        </w:r>
      </w:hyperlink>
    </w:p>
    <w:p w14:paraId="263E00E8" w14:textId="03E57F36" w:rsidR="0016459F" w:rsidRPr="00D6644C" w:rsidRDefault="0016459F" w:rsidP="00D6644C">
      <w:pPr>
        <w:rPr>
          <w:rFonts w:cs="Arial"/>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0184F46-634B-4325-957E-24AABAB86A94}"/>
    <w:embedBold r:id="rId2" w:fontKey="{7F8EAC16-2A3B-4F72-AF8B-62AEDCE55FD9}"/>
    <w:embedItalic r:id="rId3" w:fontKey="{83550CE3-E24D-4456-B371-26CE12005C4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49D84C03-19F9-4876-BA8D-C00647725012}"/>
  </w:font>
  <w:font w:name="Aptos Display">
    <w:charset w:val="00"/>
    <w:family w:val="swiss"/>
    <w:pitch w:val="variable"/>
    <w:sig w:usb0="20000287" w:usb1="00000003" w:usb2="00000000" w:usb3="00000000" w:csb0="0000019F" w:csb1="00000000"/>
    <w:embedRegular r:id="rId5" w:fontKey="{AFF5EB3F-2FD1-44D4-9B2D-AF15FE27A7B5}"/>
  </w:font>
  <w:font w:name="Calibri">
    <w:panose1 w:val="020F0502020204030204"/>
    <w:charset w:val="00"/>
    <w:family w:val="swiss"/>
    <w:pitch w:val="variable"/>
    <w:sig w:usb0="E4002EFF" w:usb1="C000247B" w:usb2="00000009" w:usb3="00000000" w:csb0="000001FF" w:csb1="00000000"/>
    <w:embedRegular r:id="rId6" w:fontKey="{3ED13DDD-BCC1-438E-B342-CAA47AFF53F1}"/>
    <w:embedBold r:id="rId7" w:fontKey="{044DFD93-20BB-4A81-B01A-94690E7DB899}"/>
    <w:embedItalic r:id="rId8" w:fontKey="{008A8589-B421-42CF-96CC-C7AD0BF653B7}"/>
  </w:font>
  <w:font w:name="Roboto">
    <w:charset w:val="00"/>
    <w:family w:val="auto"/>
    <w:pitch w:val="variable"/>
    <w:sig w:usb0="E0000AFF" w:usb1="5000217F" w:usb2="00000021" w:usb3="00000000" w:csb0="0000019F" w:csb1="00000000"/>
    <w:embedRegular r:id="rId9" w:fontKey="{76E3B4D5-F0F8-4E1E-987E-D5992EEEDA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DE3E8" w14:textId="77777777" w:rsidR="000D07F5" w:rsidRDefault="000D07F5">
      <w:pPr>
        <w:spacing w:after="0" w:line="240" w:lineRule="auto"/>
      </w:pPr>
      <w:r>
        <w:separator/>
      </w:r>
    </w:p>
  </w:footnote>
  <w:footnote w:type="continuationSeparator" w:id="0">
    <w:p w14:paraId="7B14F59F" w14:textId="77777777" w:rsidR="000D07F5" w:rsidRDefault="000D07F5">
      <w:pPr>
        <w:spacing w:after="0" w:line="240" w:lineRule="auto"/>
      </w:pPr>
      <w:r>
        <w:continuationSeparator/>
      </w:r>
    </w:p>
  </w:footnote>
  <w:footnote w:type="continuationNotice" w:id="1">
    <w:p w14:paraId="553CE4DB" w14:textId="77777777" w:rsidR="000D07F5" w:rsidRDefault="000D07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B4352"/>
    <w:multiLevelType w:val="hybridMultilevel"/>
    <w:tmpl w:val="AFDA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35749"/>
    <w:multiLevelType w:val="hybridMultilevel"/>
    <w:tmpl w:val="C706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B41F28"/>
    <w:multiLevelType w:val="hybridMultilevel"/>
    <w:tmpl w:val="F4C2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E764F7"/>
    <w:multiLevelType w:val="hybridMultilevel"/>
    <w:tmpl w:val="3762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AB4A7E"/>
    <w:multiLevelType w:val="hybridMultilevel"/>
    <w:tmpl w:val="F0C6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A1940"/>
    <w:multiLevelType w:val="hybridMultilevel"/>
    <w:tmpl w:val="D26E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ED4C0E"/>
    <w:multiLevelType w:val="hybridMultilevel"/>
    <w:tmpl w:val="2C84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EA3E40"/>
    <w:multiLevelType w:val="hybridMultilevel"/>
    <w:tmpl w:val="C4D4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9A4F73"/>
    <w:multiLevelType w:val="hybridMultilevel"/>
    <w:tmpl w:val="4570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68682F"/>
    <w:multiLevelType w:val="hybridMultilevel"/>
    <w:tmpl w:val="219A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9580F"/>
    <w:multiLevelType w:val="hybridMultilevel"/>
    <w:tmpl w:val="245E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986848">
    <w:abstractNumId w:val="9"/>
  </w:num>
  <w:num w:numId="2" w16cid:durableId="775949191">
    <w:abstractNumId w:val="6"/>
  </w:num>
  <w:num w:numId="3" w16cid:durableId="1435663934">
    <w:abstractNumId w:val="7"/>
  </w:num>
  <w:num w:numId="4" w16cid:durableId="2141071254">
    <w:abstractNumId w:val="8"/>
  </w:num>
  <w:num w:numId="5" w16cid:durableId="1131627575">
    <w:abstractNumId w:val="4"/>
  </w:num>
  <w:num w:numId="6" w16cid:durableId="1190602080">
    <w:abstractNumId w:val="0"/>
  </w:num>
  <w:num w:numId="7" w16cid:durableId="2080521698">
    <w:abstractNumId w:val="3"/>
  </w:num>
  <w:num w:numId="8" w16cid:durableId="1011373564">
    <w:abstractNumId w:val="10"/>
  </w:num>
  <w:num w:numId="9" w16cid:durableId="1037702229">
    <w:abstractNumId w:val="2"/>
  </w:num>
  <w:num w:numId="10" w16cid:durableId="585071612">
    <w:abstractNumId w:val="5"/>
  </w:num>
  <w:num w:numId="11" w16cid:durableId="75174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readOnly" w:enforcement="1" w:cryptProviderType="rsaAES" w:cryptAlgorithmClass="hash" w:cryptAlgorithmType="typeAny" w:cryptAlgorithmSid="14" w:cryptSpinCount="100000" w:hash="yA2iDN8Mio0ptn1nMR4zupnLpA6mII5lZnGQPjfV1cCHplRgCd4HzFKsinKLFEixJTq7IloPjg6g6F+hBZAI6Q==" w:salt="3/BOlOk3OokftJBgHKkePQ=="/>
  <w:defaultTabStop w:val="720"/>
  <w:characterSpacingControl w:val="doNotCompress"/>
  <w:footnotePr>
    <w:pos w:val="beneathText"/>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847"/>
    <w:rsid w:val="00000339"/>
    <w:rsid w:val="000C607C"/>
    <w:rsid w:val="000D07F5"/>
    <w:rsid w:val="000E353F"/>
    <w:rsid w:val="00123687"/>
    <w:rsid w:val="00147EB7"/>
    <w:rsid w:val="0016451B"/>
    <w:rsid w:val="0016459F"/>
    <w:rsid w:val="00176EDD"/>
    <w:rsid w:val="001928E3"/>
    <w:rsid w:val="001C5734"/>
    <w:rsid w:val="00231988"/>
    <w:rsid w:val="00236418"/>
    <w:rsid w:val="0023691B"/>
    <w:rsid w:val="002461F6"/>
    <w:rsid w:val="0026411D"/>
    <w:rsid w:val="00266D65"/>
    <w:rsid w:val="002B6B27"/>
    <w:rsid w:val="002D2982"/>
    <w:rsid w:val="002F7065"/>
    <w:rsid w:val="003900D6"/>
    <w:rsid w:val="003A4AED"/>
    <w:rsid w:val="003E3E86"/>
    <w:rsid w:val="00432E44"/>
    <w:rsid w:val="00473117"/>
    <w:rsid w:val="00496CC8"/>
    <w:rsid w:val="004F2A30"/>
    <w:rsid w:val="00503847"/>
    <w:rsid w:val="005457A0"/>
    <w:rsid w:val="00581FAD"/>
    <w:rsid w:val="005B70EC"/>
    <w:rsid w:val="005C772C"/>
    <w:rsid w:val="005E37D6"/>
    <w:rsid w:val="006268FC"/>
    <w:rsid w:val="006801FA"/>
    <w:rsid w:val="006A3DA3"/>
    <w:rsid w:val="00724EC4"/>
    <w:rsid w:val="00755CD7"/>
    <w:rsid w:val="007D1453"/>
    <w:rsid w:val="007F23FC"/>
    <w:rsid w:val="0082178F"/>
    <w:rsid w:val="008468EB"/>
    <w:rsid w:val="008F0948"/>
    <w:rsid w:val="008F2DDA"/>
    <w:rsid w:val="00960F99"/>
    <w:rsid w:val="009C3622"/>
    <w:rsid w:val="009E21E3"/>
    <w:rsid w:val="009F2344"/>
    <w:rsid w:val="00A038C5"/>
    <w:rsid w:val="00A04CE8"/>
    <w:rsid w:val="00A077D5"/>
    <w:rsid w:val="00A40EA2"/>
    <w:rsid w:val="00A44B0B"/>
    <w:rsid w:val="00A51E43"/>
    <w:rsid w:val="00A836E3"/>
    <w:rsid w:val="00A929BF"/>
    <w:rsid w:val="00AC3F47"/>
    <w:rsid w:val="00AD728E"/>
    <w:rsid w:val="00B42BFB"/>
    <w:rsid w:val="00B62519"/>
    <w:rsid w:val="00BC0291"/>
    <w:rsid w:val="00BD612E"/>
    <w:rsid w:val="00C2031F"/>
    <w:rsid w:val="00C30D5E"/>
    <w:rsid w:val="00D17870"/>
    <w:rsid w:val="00D541EE"/>
    <w:rsid w:val="00D550A5"/>
    <w:rsid w:val="00D632A7"/>
    <w:rsid w:val="00D6644C"/>
    <w:rsid w:val="00D85A71"/>
    <w:rsid w:val="00DD3473"/>
    <w:rsid w:val="00DE7789"/>
    <w:rsid w:val="00DF4578"/>
    <w:rsid w:val="00E238AA"/>
    <w:rsid w:val="00EE2C04"/>
    <w:rsid w:val="00F4552C"/>
    <w:rsid w:val="00F46F86"/>
    <w:rsid w:val="00F5013B"/>
    <w:rsid w:val="00F62535"/>
    <w:rsid w:val="00FA41A9"/>
    <w:rsid w:val="00FC2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FD58B"/>
  <w14:discardImageEditingData/>
  <w15:docId w15:val="{5460B90A-2ED9-4D11-9363-0B43036C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0EC"/>
    <w:rPr>
      <w:rFonts w:ascii="Arial" w:hAnsi="Arial"/>
      <w:sz w:val="22"/>
    </w:rPr>
  </w:style>
  <w:style w:type="paragraph" w:styleId="Heading1">
    <w:name w:val="heading 1"/>
    <w:basedOn w:val="Normal"/>
    <w:next w:val="Normal"/>
    <w:link w:val="Heading1Char"/>
    <w:uiPriority w:val="9"/>
    <w:qFormat/>
    <w:rsid w:val="005B70EC"/>
    <w:pPr>
      <w:keepNext/>
      <w:keepLines/>
      <w:spacing w:before="360" w:after="80"/>
      <w:outlineLvl w:val="0"/>
    </w:pPr>
    <w:rPr>
      <w:rFonts w:ascii="Arial Black" w:eastAsiaTheme="majorEastAsia" w:hAnsi="Arial Black" w:cstheme="majorBidi"/>
      <w:color w:val="2F5496"/>
      <w:sz w:val="36"/>
      <w:szCs w:val="40"/>
    </w:rPr>
  </w:style>
  <w:style w:type="paragraph" w:styleId="Heading2">
    <w:name w:val="heading 2"/>
    <w:basedOn w:val="Normal"/>
    <w:next w:val="Normal"/>
    <w:link w:val="Heading2Char"/>
    <w:uiPriority w:val="9"/>
    <w:unhideWhenUsed/>
    <w:qFormat/>
    <w:rsid w:val="005B70EC"/>
    <w:pPr>
      <w:keepNext/>
      <w:keepLines/>
      <w:spacing w:before="160" w:after="80"/>
      <w:outlineLvl w:val="1"/>
    </w:pPr>
    <w:rPr>
      <w:rFonts w:ascii="Arial Black" w:eastAsiaTheme="majorEastAsia" w:hAnsi="Arial Black" w:cstheme="majorBidi"/>
      <w:color w:val="2F5496"/>
      <w:sz w:val="28"/>
      <w:szCs w:val="32"/>
    </w:rPr>
  </w:style>
  <w:style w:type="paragraph" w:styleId="Heading3">
    <w:name w:val="heading 3"/>
    <w:basedOn w:val="Normal"/>
    <w:next w:val="Normal"/>
    <w:link w:val="Heading3Char"/>
    <w:uiPriority w:val="9"/>
    <w:unhideWhenUsed/>
    <w:qFormat/>
    <w:rsid w:val="00231988"/>
    <w:pPr>
      <w:keepNext/>
      <w:keepLines/>
      <w:spacing w:before="160" w:after="80"/>
      <w:outlineLvl w:val="2"/>
    </w:pPr>
    <w:rPr>
      <w:rFonts w:eastAsiaTheme="majorEastAsia" w:cstheme="majorBidi"/>
      <w:b/>
      <w:color w:val="2F5496"/>
      <w:sz w:val="24"/>
      <w:szCs w:val="28"/>
    </w:rPr>
  </w:style>
  <w:style w:type="paragraph" w:styleId="Heading4">
    <w:name w:val="heading 4"/>
    <w:basedOn w:val="Normal"/>
    <w:next w:val="Normal"/>
    <w:link w:val="Heading4Char"/>
    <w:uiPriority w:val="9"/>
    <w:semiHidden/>
    <w:unhideWhenUsed/>
    <w:qFormat/>
    <w:rsid w:val="00F307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07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07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07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07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07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07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70EC"/>
    <w:rPr>
      <w:rFonts w:ascii="Arial Black" w:eastAsiaTheme="majorEastAsia" w:hAnsi="Arial Black" w:cstheme="majorBidi"/>
      <w:color w:val="2F5496"/>
      <w:sz w:val="36"/>
      <w:szCs w:val="40"/>
    </w:rPr>
  </w:style>
  <w:style w:type="character" w:customStyle="1" w:styleId="Heading2Char">
    <w:name w:val="Heading 2 Char"/>
    <w:basedOn w:val="DefaultParagraphFont"/>
    <w:link w:val="Heading2"/>
    <w:uiPriority w:val="9"/>
    <w:rsid w:val="005B70EC"/>
    <w:rPr>
      <w:rFonts w:ascii="Arial Black" w:eastAsiaTheme="majorEastAsia" w:hAnsi="Arial Black" w:cstheme="majorBidi"/>
      <w:color w:val="2F5496"/>
      <w:sz w:val="28"/>
      <w:szCs w:val="32"/>
    </w:rPr>
  </w:style>
  <w:style w:type="character" w:customStyle="1" w:styleId="Heading3Char">
    <w:name w:val="Heading 3 Char"/>
    <w:basedOn w:val="DefaultParagraphFont"/>
    <w:link w:val="Heading3"/>
    <w:uiPriority w:val="9"/>
    <w:rsid w:val="00231988"/>
    <w:rPr>
      <w:rFonts w:ascii="Arial" w:eastAsiaTheme="majorEastAsia" w:hAnsi="Arial" w:cstheme="majorBidi"/>
      <w:b/>
      <w:color w:val="2F5496"/>
      <w:szCs w:val="28"/>
    </w:rPr>
  </w:style>
  <w:style w:type="character" w:customStyle="1" w:styleId="Heading4Char">
    <w:name w:val="Heading 4 Char"/>
    <w:basedOn w:val="DefaultParagraphFont"/>
    <w:link w:val="Heading4"/>
    <w:uiPriority w:val="9"/>
    <w:semiHidden/>
    <w:rsid w:val="00F307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07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07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07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07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0727"/>
    <w:rPr>
      <w:rFonts w:eastAsiaTheme="majorEastAsia" w:cstheme="majorBidi"/>
      <w:color w:val="272727" w:themeColor="text1" w:themeTint="D8"/>
    </w:rPr>
  </w:style>
  <w:style w:type="character" w:customStyle="1" w:styleId="TitleChar">
    <w:name w:val="Title Char"/>
    <w:basedOn w:val="DefaultParagraphFont"/>
    <w:link w:val="Title"/>
    <w:uiPriority w:val="10"/>
    <w:rsid w:val="00F307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307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0727"/>
    <w:pPr>
      <w:spacing w:before="160"/>
      <w:jc w:val="center"/>
    </w:pPr>
    <w:rPr>
      <w:i/>
      <w:iCs/>
      <w:color w:val="404040" w:themeColor="text1" w:themeTint="BF"/>
    </w:rPr>
  </w:style>
  <w:style w:type="character" w:customStyle="1" w:styleId="QuoteChar">
    <w:name w:val="Quote Char"/>
    <w:basedOn w:val="DefaultParagraphFont"/>
    <w:link w:val="Quote"/>
    <w:uiPriority w:val="29"/>
    <w:rsid w:val="00F30727"/>
    <w:rPr>
      <w:i/>
      <w:iCs/>
      <w:color w:val="404040" w:themeColor="text1" w:themeTint="BF"/>
    </w:rPr>
  </w:style>
  <w:style w:type="paragraph" w:styleId="ListParagraph">
    <w:name w:val="List Paragraph"/>
    <w:basedOn w:val="Normal"/>
    <w:uiPriority w:val="34"/>
    <w:qFormat/>
    <w:rsid w:val="00F30727"/>
    <w:pPr>
      <w:ind w:left="720"/>
      <w:contextualSpacing/>
    </w:pPr>
  </w:style>
  <w:style w:type="character" w:styleId="IntenseEmphasis">
    <w:name w:val="Intense Emphasis"/>
    <w:basedOn w:val="DefaultParagraphFont"/>
    <w:uiPriority w:val="21"/>
    <w:qFormat/>
    <w:rsid w:val="00F30727"/>
    <w:rPr>
      <w:i/>
      <w:iCs/>
      <w:color w:val="0F4761" w:themeColor="accent1" w:themeShade="BF"/>
    </w:rPr>
  </w:style>
  <w:style w:type="paragraph" w:styleId="IntenseQuote">
    <w:name w:val="Intense Quote"/>
    <w:basedOn w:val="Normal"/>
    <w:next w:val="Normal"/>
    <w:link w:val="IntenseQuoteChar"/>
    <w:uiPriority w:val="30"/>
    <w:qFormat/>
    <w:rsid w:val="00F307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0727"/>
    <w:rPr>
      <w:i/>
      <w:iCs/>
      <w:color w:val="0F4761" w:themeColor="accent1" w:themeShade="BF"/>
    </w:rPr>
  </w:style>
  <w:style w:type="character" w:styleId="IntenseReference">
    <w:name w:val="Intense Reference"/>
    <w:basedOn w:val="DefaultParagraphFont"/>
    <w:uiPriority w:val="32"/>
    <w:qFormat/>
    <w:rsid w:val="00F30727"/>
    <w:rPr>
      <w:b/>
      <w:bCs/>
      <w:smallCaps/>
      <w:color w:val="0F4761" w:themeColor="accent1" w:themeShade="BF"/>
      <w:spacing w:val="5"/>
    </w:rPr>
  </w:style>
  <w:style w:type="paragraph" w:styleId="FootnoteText">
    <w:name w:val="footnote text"/>
    <w:basedOn w:val="Normal"/>
    <w:link w:val="FootnoteTextChar"/>
    <w:uiPriority w:val="99"/>
    <w:semiHidden/>
    <w:unhideWhenUsed/>
    <w:rsid w:val="004B41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10C"/>
    <w:rPr>
      <w:sz w:val="20"/>
      <w:szCs w:val="20"/>
    </w:rPr>
  </w:style>
  <w:style w:type="character" w:styleId="FootnoteReference">
    <w:name w:val="footnote reference"/>
    <w:basedOn w:val="DefaultParagraphFont"/>
    <w:uiPriority w:val="99"/>
    <w:semiHidden/>
    <w:unhideWhenUsed/>
    <w:rsid w:val="004B410C"/>
    <w:rPr>
      <w:vertAlign w:val="superscript"/>
    </w:rPr>
  </w:style>
  <w:style w:type="paragraph" w:styleId="EndnoteText">
    <w:name w:val="endnote text"/>
    <w:basedOn w:val="Normal"/>
    <w:link w:val="EndnoteTextChar"/>
    <w:uiPriority w:val="99"/>
    <w:semiHidden/>
    <w:unhideWhenUsed/>
    <w:rsid w:val="004B41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10C"/>
    <w:rPr>
      <w:sz w:val="20"/>
      <w:szCs w:val="20"/>
    </w:rPr>
  </w:style>
  <w:style w:type="character" w:styleId="EndnoteReference">
    <w:name w:val="endnote reference"/>
    <w:basedOn w:val="DefaultParagraphFont"/>
    <w:uiPriority w:val="99"/>
    <w:semiHidden/>
    <w:unhideWhenUsed/>
    <w:rsid w:val="004B410C"/>
    <w:rPr>
      <w:vertAlign w:val="superscript"/>
    </w:rPr>
  </w:style>
  <w:style w:type="character" w:styleId="Hyperlink">
    <w:name w:val="Hyperlink"/>
    <w:basedOn w:val="DefaultParagraphFont"/>
    <w:uiPriority w:val="99"/>
    <w:unhideWhenUsed/>
    <w:rsid w:val="00D17870"/>
    <w:rPr>
      <w:color w:val="467886" w:themeColor="hyperlink"/>
      <w:u w:val="single"/>
    </w:rPr>
  </w:style>
  <w:style w:type="character" w:styleId="UnresolvedMention">
    <w:name w:val="Unresolved Mention"/>
    <w:basedOn w:val="DefaultParagraphFont"/>
    <w:uiPriority w:val="99"/>
    <w:semiHidden/>
    <w:unhideWhenUsed/>
    <w:rsid w:val="00D17870"/>
    <w:rPr>
      <w:color w:val="605E5C"/>
      <w:shd w:val="clear" w:color="auto" w:fill="E1DFDD"/>
    </w:rPr>
  </w:style>
  <w:style w:type="paragraph" w:styleId="Header">
    <w:name w:val="header"/>
    <w:basedOn w:val="Normal"/>
    <w:link w:val="HeaderChar"/>
    <w:uiPriority w:val="99"/>
    <w:unhideWhenUsed/>
    <w:rsid w:val="007F2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3FC"/>
    <w:rPr>
      <w:rFonts w:ascii="Arial" w:hAnsi="Arial"/>
      <w:sz w:val="22"/>
    </w:rPr>
  </w:style>
  <w:style w:type="paragraph" w:styleId="Footer">
    <w:name w:val="footer"/>
    <w:basedOn w:val="Normal"/>
    <w:link w:val="FooterChar"/>
    <w:uiPriority w:val="99"/>
    <w:unhideWhenUsed/>
    <w:rsid w:val="007F2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3F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gla.ac.uk/research/az/sipher/products/layeredsystemsmaphousingandhealth/" TargetMode="External"/><Relationship Id="rId18" Type="http://schemas.openxmlformats.org/officeDocument/2006/relationships/hyperlink" Target="https://bmcpublichealth.biomedcentral.com/counter/pdf/10.1186/s12889-020-09224-0.pdf" TargetMode="External"/><Relationship Id="rId26" Type="http://schemas.openxmlformats.org/officeDocument/2006/relationships/hyperlink" Target="https://housingevidence.ac.uk/wp-content/uploads/2022/11/20221012_Understanding-Landlord-Behaviour-1.pdf" TargetMode="External"/><Relationship Id="rId39" Type="http://schemas.openxmlformats.org/officeDocument/2006/relationships/hyperlink" Target="https://housingevidence.ac.uk/publications/reviewing-residential-retrofitting-literature-2/" TargetMode="External"/><Relationship Id="rId21" Type="http://schemas.openxmlformats.org/officeDocument/2006/relationships/hyperlink" Target="https://doi.org/10.1016/j.socscimed.2014.11.043" TargetMode="External"/><Relationship Id="rId34" Type="http://schemas.openxmlformats.org/officeDocument/2006/relationships/hyperlink" Target="https://bmcpublichealth.biomedcentral.com/counter/pdf/10.1186/s12889-020-09224-0.pdf" TargetMode="External"/><Relationship Id="rId42" Type="http://schemas.openxmlformats.org/officeDocument/2006/relationships/hyperlink" Target="https://bmcpublichealth.biomedcentral.com/counter/pdf/10.1186/s12889-020-09224-0.pdf" TargetMode="External"/><Relationship Id="rId47" Type="http://schemas.openxmlformats.org/officeDocument/2006/relationships/hyperlink" Target="https://housingevidence.ac.uk/wp-content/uploads/2024/02/CaCHE-Wellbeing-in-the-PRS.-Report-2.pdf" TargetMode="External"/><Relationship Id="rId50" Type="http://schemas.openxmlformats.org/officeDocument/2006/relationships/hyperlink" Target="https://doi.org/10.1016/j.amepre.2019.03.018" TargetMode="External"/><Relationship Id="rId55" Type="http://schemas.openxmlformats.org/officeDocument/2006/relationships/hyperlink" Target="https://doi.org/10.1016/j.socscimed.2019.112571"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df.sciencedirectassets.com/271845/1-s2.0-S1353829210X00065/1-s2.0-S1353829210001486/main.pdf?X-Amz-Security-Token=IQoJb3JpZ2luX2VjEML%2F%2F%2F%2F%2F%2F%2F%2F%2F%2FwEaCXVzLWVhc3QtMSJIMEYCIQDwcsZ6aKj%2Bw8F79lKPSwH5UItLGL%2BIKNd7PssswvEg6gIhALtW3g9clseYzwO83AE91bi3PndM3LntxkD6%2B54Bzu2mKrIFCCoQBRoMMDU5MDAzNTQ2ODY1Igx%2FJWgVPWbYVNsOdoUqjwUNvgxbcK3TOuERyQFlhKXvZdOiO%2Fw%2BmlHv5ds3rLu6goD46zd7dIgc1MCjmw%2FdNW43jarr3v0qHY3d5gNgtyXGhbTsL64vbNGURR6GdrJyvLHux2pZapAysX4JZdNumAzkjl%2FRJNJHS6lrIikFl2Xsh%2B%2B%2BfO%2B3MV8m%2F5U0wzAVfkMtFZHId2FVeacKvbL36L4hbz2qCunx3g47yrHd%2BBcsSnKkdhX7VWZHTbOubi2ixKct6jxd5ogGNvM44RO3ibb9C2qRONfLkrgxLY80TEZC4J8klkYw%2Fvz4JleveR3tHn485b3GMDtSh%2B2YK4QufrbyeW%2FX2HGTspWhWJG7aJ8wWqVM6NsGZL88yGbpu1ASoqDZtOpby2nJz4LZrrb9DIR3%2BaUqfI9rQo6blinorZFuBmIKUtlOJKG57TB%2Ft%2BucutDqqH97BS3iHMRm4WD74HxhNUyeBoQF81%2FoNreV2ZMTUfEYFG016%2BCEfZc5qVU5fasXc25FWW2dHCUmQkRA4B7GbKofXTU8z82%2Fp5yB1bB5mPEwIh0JDHEaY7GUGYFoICsGK3LiJxgH5hp7IYTUksLzHcaVlCuDHyOjQjAWWn9tgBVV5impo12NDx8ixhjZ8l96eyIco2Fd4s1axvnUg855df9TyKq3HBvtrP9j0hiDBYcWMLWvfbjyqy7SxVnwCDEOR14LklHPTSIk6SzFxnzW2I9Ekt4b%2BBHPKNJTdG4gxkVIdkM8j%2Fbi8W0mqRtNanLk2q%2Fh0BvSeccS5rEJOEyC378hF%2FHTeoyOV0G8%2FFEOn6m9xex2ejjQHO2pr7BBknOiT6TdSe3uAxzeMhD7FMyw1f5H8sHH%2BOXyCbalklWVKYb3W0NVrP5mLug%2BMkqlMObJ97EGOrABBFF0S7kZE8B4ZeTOtY7ZEX8CAU5xYX8VscsxcRu%2B7ALXiqtY9frgMqUXtuxe6HeE1keXbMehCbFh6cnXuudHfR6WcyU8jxEKyzFzxU%2B5zRehG3jp1c5hkLi0ATjqJWM0jptVJUcQs5nvyjHqgxrjUd6Mj5v39OcMQKtH6EWznn8QniL4wVcuzrprQIwYUYHXbvtOHwKwIZGVpsZ31LVEcLLizXTRCgRznJLfeCZIj7c%3D&amp;X-Amz-Algorithm=AWS4-HMAC-SHA256&amp;X-Amz-Date=20240510T105333Z&amp;X-Amz-SignedHeaders=host&amp;X-Amz-Expires=300&amp;X-Amz-Credential=ASIAQ3PHCVTY7WA5XMEM%2F20240510%2Fus-east-1%2Fs3%2Faws4_request&amp;X-Amz-Signature=0138d1182a3899e6adc7fcccbb68292acfecb5f766c2c063ef447724ac924604&amp;hash=fd4f90808209a4281a0d8d51a517245138cca1b216a56b8614f48937410d8a56&amp;host=68042c943591013ac2b2430a89b270f6af2c76d8dfd086a07176afe7c76c2c61&amp;pii=S1353829210001486&amp;tid=spdf-38ae8546-00fe-49b8-9446-d5a6c82a283b&amp;sid=97368eac66d73746d28a2db8bf20dc7d2bf7gxrqa&amp;type=client&amp;tsoh=d3d3LnNjaWVuY2VkaXJlY" TargetMode="External"/><Relationship Id="rId29" Type="http://schemas.openxmlformats.org/officeDocument/2006/relationships/hyperlink" Target="https://housingevidence.ac.uk/wp-content/uploads/2024/02/CaCHE-Wellbeing-in-the-PRS.-Report-2.pdf" TargetMode="External"/><Relationship Id="rId11" Type="http://schemas.openxmlformats.org/officeDocument/2006/relationships/endnotes" Target="endnotes.xml"/><Relationship Id="rId24" Type="http://schemas.openxmlformats.org/officeDocument/2006/relationships/hyperlink" Target="https://www.cochranelibrary.com/cdsr/doi/10.1002/14651858.CD008657.pub2/pdf/full" TargetMode="External"/><Relationship Id="rId32" Type="http://schemas.openxmlformats.org/officeDocument/2006/relationships/hyperlink" Target="https://doi.org/10.1093/pubmed/fdy138" TargetMode="External"/><Relationship Id="rId37" Type="http://schemas.openxmlformats.org/officeDocument/2006/relationships/hyperlink" Target="https://pubmed.ncbi.nlm.nih.gov/33146364/" TargetMode="External"/><Relationship Id="rId40" Type="http://schemas.openxmlformats.org/officeDocument/2006/relationships/hyperlink" Target="https://housingevidence.ac.uk/publications/how-to-combine-action-on-housing-retrofit-with-tackling-health-inequalities-and-other-injustices/" TargetMode="External"/><Relationship Id="rId45" Type="http://schemas.openxmlformats.org/officeDocument/2006/relationships/hyperlink" Target="https://housingevidence.ac.uk/wp-content/uploads/2022/09/Living_in_scotland_PRS_survey_report_sept_2022.pdf" TargetMode="External"/><Relationship Id="rId53" Type="http://schemas.openxmlformats.org/officeDocument/2006/relationships/hyperlink" Target="https://housingevidence.ac.uk/wp-content/uploads/2024/02/Housing_challenges_faced_by_lowincome_renters_evidence_review_Sept_2022-1.pdf" TargetMode="External"/><Relationship Id="rId58" Type="http://schemas.openxmlformats.org/officeDocument/2006/relationships/hyperlink" Target="https://bmcpublichealth.biomedcentral.com/counter/pdf/10.1186/s12889-020-09224-0.pdf" TargetMode="External"/><Relationship Id="rId5" Type="http://schemas.openxmlformats.org/officeDocument/2006/relationships/customXml" Target="../customXml/item5.xml"/><Relationship Id="rId61" Type="http://schemas.openxmlformats.org/officeDocument/2006/relationships/hyperlink" Target="https://housingevidence.ac.uk/wp-content/uploads/2022/09/Living_in_scotland_PRS_survey_report_sept_2022.pdf" TargetMode="External"/><Relationship Id="rId19" Type="http://schemas.openxmlformats.org/officeDocument/2006/relationships/hyperlink" Target="https://doi.org/10.1016/j.socscimed.2019.112571" TargetMode="External"/><Relationship Id="rId14" Type="http://schemas.openxmlformats.org/officeDocument/2006/relationships/hyperlink" Target="https://bmcpublichealth.biomedcentral.com/counter/pdf/10.1186/s12889-020-09224-0.pdf" TargetMode="External"/><Relationship Id="rId22" Type="http://schemas.openxmlformats.org/officeDocument/2006/relationships/hyperlink" Target="https://doi.org/10.1016/j.amepre.2019.03.018" TargetMode="External"/><Relationship Id="rId27" Type="http://schemas.openxmlformats.org/officeDocument/2006/relationships/hyperlink" Target="https://housingevidence.ac.uk/wp-content/uploads/2022/09/Living_in_scotland_PRS_survey_report_sept_2022.pdf" TargetMode="External"/><Relationship Id="rId30" Type="http://schemas.openxmlformats.org/officeDocument/2006/relationships/hyperlink" Target="https://housingevidence.ac.uk/publications/housing-policy-and-poor-quality-homes/" TargetMode="External"/><Relationship Id="rId35" Type="http://schemas.openxmlformats.org/officeDocument/2006/relationships/hyperlink" Target="https://doi.org/10.1016/j.amepre.2019.03.018" TargetMode="External"/><Relationship Id="rId43" Type="http://schemas.openxmlformats.org/officeDocument/2006/relationships/hyperlink" Target="https://doi.org/10.1016/j.socscimed.2014.11.043" TargetMode="External"/><Relationship Id="rId48" Type="http://schemas.openxmlformats.org/officeDocument/2006/relationships/hyperlink" Target="https://doi.org/10.1016/j.socscimed.2019.112571" TargetMode="External"/><Relationship Id="rId56" Type="http://schemas.openxmlformats.org/officeDocument/2006/relationships/hyperlink" Target="https://doi.org/10.1016/j.socscimed.2014.11.043"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i.org/10.1093/pubmed/fdy138"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housingevidence.ac.uk/publications/impact-of-housing-design-and-placemaking-on-social-value-and-wellbeing-in-the-pandemic-interim-report/" TargetMode="External"/><Relationship Id="rId25" Type="http://schemas.openxmlformats.org/officeDocument/2006/relationships/hyperlink" Target="https://pubmed.ncbi.nlm.nih.gov/33146364/" TargetMode="External"/><Relationship Id="rId33" Type="http://schemas.openxmlformats.org/officeDocument/2006/relationships/hyperlink" Target="https://doi.org/10.1016/j.socscimed.2019.112571" TargetMode="External"/><Relationship Id="rId38" Type="http://schemas.openxmlformats.org/officeDocument/2006/relationships/hyperlink" Target="https://housingevidence.ac.uk/publications/niddrie-road-glasgow-tenement-retrofit-evaluation/" TargetMode="External"/><Relationship Id="rId46" Type="http://schemas.openxmlformats.org/officeDocument/2006/relationships/hyperlink" Target="https://housingevidence.ac.uk/wp-content/uploads/2024/02/Housing_challenges_faced_by_lowincome_renters_evidence_review_Sept_2022-1.pdf" TargetMode="External"/><Relationship Id="rId59" Type="http://schemas.openxmlformats.org/officeDocument/2006/relationships/hyperlink" Target="https://www.cochranelibrary.com/cdsr/doi/10.1002/14651858.CD008657.pub2/pdf/full" TargetMode="External"/><Relationship Id="rId20" Type="http://schemas.openxmlformats.org/officeDocument/2006/relationships/hyperlink" Target="https://pdf.sciencedirectassets.com/271845/1-s2.0-S1353829210X00065/1-s2.0-S1353829210001486/main.pdf?X-Amz-Security-Token=IQoJb3JpZ2luX2VjEML%2F%2F%2F%2F%2F%2F%2F%2F%2F%2FwEaCXVzLWVhc3QtMSJIMEYCIQDwcsZ6aKj%2Bw8F79lKPSwH5UItLGL%2BIKNd7PssswvEg6gIhALtW3g9clseYzwO83AE91bi3PndM3LntxkD6%2B54Bzu2mKrIFCCoQBRoMMDU5MDAzNTQ2ODY1Igx%2FJWgVPWbYVNsOdoUqjwUNvgxbcK3TOuERyQFlhKXvZdOiO%2Fw%2BmlHv5ds3rLu6goD46zd7dIgc1MCjmw%2FdNW43jarr3v0qHY3d5gNgtyXGhbTsL64vbNGURR6GdrJyvLHux2pZapAysX4JZdNumAzkjl%2FRJNJHS6lrIikFl2Xsh%2B%2B%2BfO%2B3MV8m%2F5U0wzAVfkMtFZHId2FVeacKvbL36L4hbz2qCunx3g47yrHd%2BBcsSnKkdhX7VWZHTbOubi2ixKct6jxd5ogGNvM44RO3ibb9C2qRONfLkrgxLY80TEZC4J8klkYw%2Fvz4JleveR3tHn485b3GMDtSh%2B2YK4QufrbyeW%2FX2HGTspWhWJG7aJ8wWqVM6NsGZL88yGbpu1ASoqDZtOpby2nJz4LZrrb9DIR3%2BaUqfI9rQo6blinorZFuBmIKUtlOJKG57TB%2Ft%2BucutDqqH97BS3iHMRm4WD74HxhNUyeBoQF81%2FoNreV2ZMTUfEYFG016%2BCEfZc5qVU5fasXc25FWW2dHCUmQkRA4B7GbKofXTU8z82%2Fp5yB1bB5mPEwIh0JDHEaY7GUGYFoICsGK3LiJxgH5hp7IYTUksLzHcaVlCuDHyOjQjAWWn9tgBVV5impo12NDx8ixhjZ8l96eyIco2Fd4s1axvnUg855df9TyKq3HBvtrP9j0hiDBYcWMLWvfbjyqy7SxVnwCDEOR14LklHPTSIk6SzFxnzW2I9Ekt4b%2BBHPKNJTdG4gxkVIdkM8j%2Fbi8W0mqRtNanLk2q%2Fh0BvSeccS5rEJOEyC378hF%2FHTeoyOV0G8%2FFEOn6m9xex2ejjQHO2pr7BBknOiT6TdSe3uAxzeMhD7FMyw1f5H8sHH%2BOXyCbalklWVKYb3W0NVrP5mLug%2BMkqlMObJ97EGOrABBFF0S7kZE8B4ZeTOtY7ZEX8CAU5xYX8VscsxcRu%2B7ALXiqtY9frgMqUXtuxe6HeE1keXbMehCbFh6cnXuudHfR6WcyU8jxEKyzFzxU%2B5zRehG3jp1c5hkLi0ATjqJWM0jptVJUcQs5nvyjHqgxrjUd6Mj5v39OcMQKtH6EWznn8QniL4wVcuzrprQIwYUYHXbvtOHwKwIZGVpsZ31LVEcLLizXTRCgRznJLfeCZIj7c%3D&amp;X-Amz-Algorithm=AWS4-HMAC-SHA256&amp;X-Amz-Date=20240510T105333Z&amp;X-Amz-SignedHeaders=host&amp;X-Amz-Expires=300&amp;X-Amz-Credential=ASIAQ3PHCVTY7WA5XMEM%2F20240510%2Fus-east-1%2Fs3%2Faws4_request&amp;X-Amz-Signature=0138d1182a3899e6adc7fcccbb68292acfecb5f766c2c063ef447724ac924604&amp;hash=fd4f90808209a4281a0d8d51a517245138cca1b216a56b8614f48937410d8a56&amp;host=68042c943591013ac2b2430a89b270f6af2c76d8dfd086a07176afe7c76c2c61&amp;pii=S1353829210001486&amp;tid=spdf-38ae8546-00fe-49b8-9446-d5a6c82a283b&amp;sid=97368eac66d73746d28a2db8bf20dc7d2bf7gxrqa&amp;type=client&amp;tsoh=d3d3LnNjaWVuY2VkaXJlY" TargetMode="External"/><Relationship Id="rId41" Type="http://schemas.openxmlformats.org/officeDocument/2006/relationships/hyperlink" Target="https://doi.org/10.1016/j.socscimed.2019.112571" TargetMode="External"/><Relationship Id="rId54" Type="http://schemas.openxmlformats.org/officeDocument/2006/relationships/hyperlink" Target="https://housingevidence.ac.uk/wp-content/uploads/2024/02/CaCHE-Wellbeing-in-the-PRS.-Report-2.pdf" TargetMode="External"/><Relationship Id="rId62" Type="http://schemas.openxmlformats.org/officeDocument/2006/relationships/hyperlink" Target="https://housingevidence.ac.uk/wp-content/uploads/2024/02/Housing_challenges_faced_by_lowincome_renters_evidence_review_Sept_2022-1.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i.org/10.1016/j.socscimed.2019.112571" TargetMode="External"/><Relationship Id="rId23" Type="http://schemas.openxmlformats.org/officeDocument/2006/relationships/hyperlink" Target="https://doi.org/10.1093/pubmed/fdy138" TargetMode="External"/><Relationship Id="rId28" Type="http://schemas.openxmlformats.org/officeDocument/2006/relationships/hyperlink" Target="https://housingevidence.ac.uk/wp-content/uploads/2024/02/Housing_challenges_faced_by_lowincome_renters_evidence_review_Sept_2022-1.pdf" TargetMode="External"/><Relationship Id="rId36" Type="http://schemas.openxmlformats.org/officeDocument/2006/relationships/hyperlink" Target="https://pdf.sciencedirectassets.com/271845/1-s2.0-S1353829210X00065/1-s2.0-S1353829210001486/main.pdf?X-Amz-Security-Token=IQoJb3JpZ2luX2VjEML%2F%2F%2F%2F%2F%2F%2F%2F%2F%2FwEaCXVzLWVhc3QtMSJIMEYCIQDwcsZ6aKj%2Bw8F79lKPSwH5UItLGL%2BIKNd7PssswvEg6gIhALtW3g9clseYzwO83AE91bi3PndM3LntxkD6%2B54Bzu2mKrIFCCoQBRoMMDU5MDAzNTQ2ODY1Igx%2FJWgVPWbYVNsOdoUqjwUNvgxbcK3TOuERyQFlhKXvZdOiO%2Fw%2BmlHv5ds3rLu6goD46zd7dIgc1MCjmw%2FdNW43jarr3v0qHY3d5gNgtyXGhbTsL64vbNGURR6GdrJyvLHux2pZapAysX4JZdNumAzkjl%2FRJNJHS6lrIikFl2Xsh%2B%2B%2BfO%2B3MV8m%2F5U0wzAVfkMtFZHId2FVeacKvbL36L4hbz2qCunx3g47yrHd%2BBcsSnKkdhX7VWZHTbOubi2ixKct6jxd5ogGNvM44RO3ibb9C2qRONfLkrgxLY80TEZC4J8klkYw%2Fvz4JleveR3tHn485b3GMDtSh%2B2YK4QufrbyeW%2FX2HGTspWhWJG7aJ8wWqVM6NsGZL88yGbpu1ASoqDZtOpby2nJz4LZrrb9DIR3%2BaUqfI9rQo6blinorZFuBmIKUtlOJKG57TB%2Ft%2BucutDqqH97BS3iHMRm4WD74HxhNUyeBoQF81%2FoNreV2ZMTUfEYFG016%2BCEfZc5qVU5fasXc25FWW2dHCUmQkRA4B7GbKofXTU8z82%2Fp5yB1bB5mPEwIh0JDHEaY7GUGYFoICsGK3LiJxgH5hp7IYTUksLzHcaVlCuDHyOjQjAWWn9tgBVV5impo12NDx8ixhjZ8l96eyIco2Fd4s1axvnUg855df9TyKq3HBvtrP9j0hiDBYcWMLWvfbjyqy7SxVnwCDEOR14LklHPTSIk6SzFxnzW2I9Ekt4b%2BBHPKNJTdG4gxkVIdkM8j%2Fbi8W0mqRtNanLk2q%2Fh0BvSeccS5rEJOEyC378hF%2FHTeoyOV0G8%2FFEOn6m9xex2ejjQHO2pr7BBknOiT6TdSe3uAxzeMhD7FMyw1f5H8sHH%2BOXyCbalklWVKYb3W0NVrP5mLug%2BMkqlMObJ97EGOrABBFF0S7kZE8B4ZeTOtY7ZEX8CAU5xYX8VscsxcRu%2B7ALXiqtY9frgMqUXtuxe6HeE1keXbMehCbFh6cnXuudHfR6WcyU8jxEKyzFzxU%2B5zRehG3jp1c5hkLi0ATjqJWM0jptVJUcQs5nvyjHqgxrjUd6Mj5v39OcMQKtH6EWznn8QniL4wVcuzrprQIwYUYHXbvtOHwKwIZGVpsZ31LVEcLLizXTRCgRznJLfeCZIj7c%3D&amp;X-Amz-Algorithm=AWS4-HMAC-SHA256&amp;X-Amz-Date=20240510T105333Z&amp;X-Amz-SignedHeaders=host&amp;X-Amz-Expires=300&amp;X-Amz-Credential=ASIAQ3PHCVTY7WA5XMEM%2F20240510%2Fus-east-1%2Fs3%2Faws4_request&amp;X-Amz-Signature=0138d1182a3899e6adc7fcccbb68292acfecb5f766c2c063ef447724ac924604&amp;hash=fd4f90808209a4281a0d8d51a517245138cca1b216a56b8614f48937410d8a56&amp;host=68042c943591013ac2b2430a89b270f6af2c76d8dfd086a07176afe7c76c2c61&amp;pii=S1353829210001486&amp;tid=spdf-38ae8546-00fe-49b8-9446-d5a6c82a283b&amp;sid=97368eac66d73746d28a2db8bf20dc7d2bf7gxrqa&amp;type=client&amp;tsoh=d3d3LnNjaWVuY2VkaXJlY" TargetMode="External"/><Relationship Id="rId49" Type="http://schemas.openxmlformats.org/officeDocument/2006/relationships/hyperlink" Target="https://doi.org/10.1016/j.socscimed.2014.11.043" TargetMode="External"/><Relationship Id="rId57" Type="http://schemas.openxmlformats.org/officeDocument/2006/relationships/hyperlink" Target="https://jech.bmj.com/content/76/8/759" TargetMode="External"/><Relationship Id="rId10" Type="http://schemas.openxmlformats.org/officeDocument/2006/relationships/footnotes" Target="footnotes.xml"/><Relationship Id="rId31" Type="http://schemas.openxmlformats.org/officeDocument/2006/relationships/hyperlink" Target="https://doi.org/10.1016/j.socscimed.2014.11.043" TargetMode="External"/><Relationship Id="rId44" Type="http://schemas.openxmlformats.org/officeDocument/2006/relationships/hyperlink" Target="https://housingevidence.ac.uk/wp-content/uploads/2022/11/20221012_Understanding-Landlord-Behaviour-1.pdf" TargetMode="External"/><Relationship Id="rId52" Type="http://schemas.openxmlformats.org/officeDocument/2006/relationships/hyperlink" Target="https://housingevidence.ac.uk/wp-content/uploads/2022/09/Living_in_scotland_PRS_survey_report_sept_2022.pdf" TargetMode="External"/><Relationship Id="rId60" Type="http://schemas.openxmlformats.org/officeDocument/2006/relationships/hyperlink" Target="https://pubmed.ncbi.nlm.nih.gov/33146364/"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endnotes.xml.rels><?xml version="1.0" encoding="UTF-8" standalone="yes"?>
<Relationships xmlns="http://schemas.openxmlformats.org/package/2006/relationships"><Relationship Id="rId26" Type="http://schemas.openxmlformats.org/officeDocument/2006/relationships/hyperlink" Target="https://doi.org/10.1016/j.socscimed.2014.11.043" TargetMode="External"/><Relationship Id="rId21" Type="http://schemas.openxmlformats.org/officeDocument/2006/relationships/hyperlink" Target="https://doi.org/10.1016/j.socscimed.2014.11.043" TargetMode="External"/><Relationship Id="rId42" Type="http://schemas.openxmlformats.org/officeDocument/2006/relationships/hyperlink" Target="https://doi.org/10.1016/j.socscimed.2019.112571" TargetMode="External"/><Relationship Id="rId47" Type="http://schemas.openxmlformats.org/officeDocument/2006/relationships/hyperlink" Target="https://doi.org/10.1016/j.socscimed.2019.112571" TargetMode="External"/><Relationship Id="rId63" Type="http://schemas.openxmlformats.org/officeDocument/2006/relationships/hyperlink" Target="https://doi.org/10.1016/j.socscimed.2014.11.043" TargetMode="External"/><Relationship Id="rId68" Type="http://schemas.openxmlformats.org/officeDocument/2006/relationships/hyperlink" Target="https://doi.org/10.1186/s12889-020-09224-0" TargetMode="External"/><Relationship Id="rId7" Type="http://schemas.openxmlformats.org/officeDocument/2006/relationships/hyperlink" Target="https://doi.org/10.1007/s10901-022-09967-9" TargetMode="External"/><Relationship Id="rId2" Type="http://schemas.openxmlformats.org/officeDocument/2006/relationships/hyperlink" Target="https://doi.org/10.1186/s12889-020-09224-0" TargetMode="External"/><Relationship Id="rId16" Type="http://schemas.openxmlformats.org/officeDocument/2006/relationships/hyperlink" Target="https://doi.org/10.1002/14651858.CD008657.pub2" TargetMode="External"/><Relationship Id="rId29" Type="http://schemas.openxmlformats.org/officeDocument/2006/relationships/hyperlink" Target="https://doi.org/10.1016/j.socscimed.2014.11.043" TargetMode="External"/><Relationship Id="rId11" Type="http://schemas.openxmlformats.org/officeDocument/2006/relationships/hyperlink" Target="https://doi.org/10.1186/s12889-020-09224-0" TargetMode="External"/><Relationship Id="rId24" Type="http://schemas.openxmlformats.org/officeDocument/2006/relationships/hyperlink" Target="https://doi.org/10.1016/j.socscimed.2019.112571" TargetMode="External"/><Relationship Id="rId32" Type="http://schemas.openxmlformats.org/officeDocument/2006/relationships/hyperlink" Target="https://doi.org/10.1016/j.socscimed.2019.112571" TargetMode="External"/><Relationship Id="rId37" Type="http://schemas.openxmlformats.org/officeDocument/2006/relationships/hyperlink" Target="https://doi.org/10.1186/s12889-020-09224-0" TargetMode="External"/><Relationship Id="rId40" Type="http://schemas.openxmlformats.org/officeDocument/2006/relationships/hyperlink" Target="https://doi.org/10.1016/j.amepre.2019.03.018" TargetMode="External"/><Relationship Id="rId45" Type="http://schemas.openxmlformats.org/officeDocument/2006/relationships/hyperlink" Target="https://doi.org/10.1186/s12889-020-09224-0" TargetMode="External"/><Relationship Id="rId53" Type="http://schemas.openxmlformats.org/officeDocument/2006/relationships/hyperlink" Target="https://doi.org/10.1016/j.socscimed.2014.11.043" TargetMode="External"/><Relationship Id="rId58" Type="http://schemas.openxmlformats.org/officeDocument/2006/relationships/hyperlink" Target="https://doi.org/10.1016/j.socscimed.2019.112571" TargetMode="External"/><Relationship Id="rId66" Type="http://schemas.openxmlformats.org/officeDocument/2006/relationships/hyperlink" Target="https://doi.org/10.1016/j.socscimed.2019.112571" TargetMode="External"/><Relationship Id="rId5" Type="http://schemas.openxmlformats.org/officeDocument/2006/relationships/hyperlink" Target="https://doi.org/10.1016/j.socscimed.2019.112571" TargetMode="External"/><Relationship Id="rId61" Type="http://schemas.openxmlformats.org/officeDocument/2006/relationships/hyperlink" Target="https://doi.org/10.1016/j.socscimed.2019.112571" TargetMode="External"/><Relationship Id="rId19" Type="http://schemas.openxmlformats.org/officeDocument/2006/relationships/hyperlink" Target="https://doi.org/10.1016/j.healthplace.2010.09.011" TargetMode="External"/><Relationship Id="rId14" Type="http://schemas.openxmlformats.org/officeDocument/2006/relationships/hyperlink" Target="https://doi.org/10.1016/j.healthplace.2010.09.011" TargetMode="External"/><Relationship Id="rId22" Type="http://schemas.openxmlformats.org/officeDocument/2006/relationships/hyperlink" Target="https://doi.org/10.1016/j.socscimed.2019.112571" TargetMode="External"/><Relationship Id="rId27" Type="http://schemas.openxmlformats.org/officeDocument/2006/relationships/hyperlink" Target="https://doi.org/10.1016/j.socscimed.2014.11.043" TargetMode="External"/><Relationship Id="rId30" Type="http://schemas.openxmlformats.org/officeDocument/2006/relationships/hyperlink" Target="https://doi.org/10.1093/pubmed/fdy138" TargetMode="External"/><Relationship Id="rId35" Type="http://schemas.openxmlformats.org/officeDocument/2006/relationships/hyperlink" Target="https://doi.org/10.1016/j.socscimed.2019.112571" TargetMode="External"/><Relationship Id="rId43" Type="http://schemas.openxmlformats.org/officeDocument/2006/relationships/hyperlink" Target="https://doi.org/10.1016/j.socscimed.2014.11.043" TargetMode="External"/><Relationship Id="rId48" Type="http://schemas.openxmlformats.org/officeDocument/2006/relationships/hyperlink" Target="https://doi.org/10.1016/j.socscimed.2014.11.043" TargetMode="External"/><Relationship Id="rId56" Type="http://schemas.openxmlformats.org/officeDocument/2006/relationships/hyperlink" Target="https://doi.org/10.1016/j.socscimed.2019.112571" TargetMode="External"/><Relationship Id="rId64" Type="http://schemas.openxmlformats.org/officeDocument/2006/relationships/hyperlink" Target="https://doi.org/10.1002/14651858.CD008657.pub2" TargetMode="External"/><Relationship Id="rId69" Type="http://schemas.openxmlformats.org/officeDocument/2006/relationships/hyperlink" Target="https://doi.org/10.1016/j.socscimed.2019.112571" TargetMode="External"/><Relationship Id="rId8" Type="http://schemas.openxmlformats.org/officeDocument/2006/relationships/hyperlink" Target="https://doi.org/10.1016/j.socscimed.2019.112571" TargetMode="External"/><Relationship Id="rId51" Type="http://schemas.openxmlformats.org/officeDocument/2006/relationships/hyperlink" Target="https://doi.org/10.1016/j.socscimed.2019.112571" TargetMode="External"/><Relationship Id="rId3" Type="http://schemas.openxmlformats.org/officeDocument/2006/relationships/hyperlink" Target="https://doi.org/10.1186/s12889-020-09224-0" TargetMode="External"/><Relationship Id="rId12" Type="http://schemas.openxmlformats.org/officeDocument/2006/relationships/hyperlink" Target="https://doi.org/10.1016/j.socscimed.2014.11.043" TargetMode="External"/><Relationship Id="rId17" Type="http://schemas.openxmlformats.org/officeDocument/2006/relationships/hyperlink" Target="https://doi.org/10.1016/j.socscimed.2019.112571" TargetMode="External"/><Relationship Id="rId25" Type="http://schemas.openxmlformats.org/officeDocument/2006/relationships/hyperlink" Target="https://doi.org/10.1016/j.socscimed.2014.11.043" TargetMode="External"/><Relationship Id="rId33" Type="http://schemas.openxmlformats.org/officeDocument/2006/relationships/hyperlink" Target="https://doi.org/10.1093/pubmed/fdy138" TargetMode="External"/><Relationship Id="rId38" Type="http://schemas.openxmlformats.org/officeDocument/2006/relationships/hyperlink" Target="https://doi.org/10.1016/j.socscimed.2014.11.043" TargetMode="External"/><Relationship Id="rId46" Type="http://schemas.openxmlformats.org/officeDocument/2006/relationships/hyperlink" Target="https://doi.org/10.1016/j.socscimed.2014.11.043" TargetMode="External"/><Relationship Id="rId59" Type="http://schemas.openxmlformats.org/officeDocument/2006/relationships/hyperlink" Target="https://doi.org/10.1016/j.socscimed.2014.11.043" TargetMode="External"/><Relationship Id="rId67" Type="http://schemas.openxmlformats.org/officeDocument/2006/relationships/hyperlink" Target="https://doi.org/10.1016/j.socscimed.2014.11.043" TargetMode="External"/><Relationship Id="rId20" Type="http://schemas.openxmlformats.org/officeDocument/2006/relationships/hyperlink" Target="https://doi.org/10.1093/pubmed/fdy138" TargetMode="External"/><Relationship Id="rId41" Type="http://schemas.openxmlformats.org/officeDocument/2006/relationships/hyperlink" Target="https://doi.org/10.1016/j.healthplace.2010.09.011" TargetMode="External"/><Relationship Id="rId54" Type="http://schemas.openxmlformats.org/officeDocument/2006/relationships/hyperlink" Target="https://doi.org/10.1016/j.socscimed.2014.11.043" TargetMode="External"/><Relationship Id="rId62" Type="http://schemas.openxmlformats.org/officeDocument/2006/relationships/hyperlink" Target="https://doi.org/10.1016/j.socscimed.2019.112571" TargetMode="External"/><Relationship Id="rId70" Type="http://schemas.openxmlformats.org/officeDocument/2006/relationships/hyperlink" Target="https://doi.org/10.1016/j.socscimed.2014.11.043" TargetMode="External"/><Relationship Id="rId1" Type="http://schemas.openxmlformats.org/officeDocument/2006/relationships/hyperlink" Target="https://doi.org/10.1016/j.socscimed.2019.112571" TargetMode="External"/><Relationship Id="rId6" Type="http://schemas.openxmlformats.org/officeDocument/2006/relationships/hyperlink" Target="https://doi.org/10.1016/j.socscimed.2019.112571" TargetMode="External"/><Relationship Id="rId15" Type="http://schemas.openxmlformats.org/officeDocument/2006/relationships/hyperlink" Target="https://doi.org/10.1093/pubmed/fdy138" TargetMode="External"/><Relationship Id="rId23" Type="http://schemas.openxmlformats.org/officeDocument/2006/relationships/hyperlink" Target="https://doi.org/10.1016/j.socscimed.2019.112571" TargetMode="External"/><Relationship Id="rId28" Type="http://schemas.openxmlformats.org/officeDocument/2006/relationships/hyperlink" Target="https://doi.org/10.1016/j.socscimed.2019.112571" TargetMode="External"/><Relationship Id="rId36" Type="http://schemas.openxmlformats.org/officeDocument/2006/relationships/hyperlink" Target="https://doi.org/10.1016/j.socscimed.2014.11.043" TargetMode="External"/><Relationship Id="rId49" Type="http://schemas.openxmlformats.org/officeDocument/2006/relationships/hyperlink" Target="https://doi.org/10.1186/s12889-020-09224-0" TargetMode="External"/><Relationship Id="rId57" Type="http://schemas.openxmlformats.org/officeDocument/2006/relationships/hyperlink" Target="https://doi.org/10.1016/j.socscimed.2019.112571" TargetMode="External"/><Relationship Id="rId10" Type="http://schemas.openxmlformats.org/officeDocument/2006/relationships/hyperlink" Target="https://doi.org/10.1016/j.socscimed.2019.112571" TargetMode="External"/><Relationship Id="rId31" Type="http://schemas.openxmlformats.org/officeDocument/2006/relationships/hyperlink" Target="https://doi.org/10.1016/j.socscimed.2019.112571" TargetMode="External"/><Relationship Id="rId44" Type="http://schemas.openxmlformats.org/officeDocument/2006/relationships/hyperlink" Target="https://doi.org/10.1016/j.socscimed.2019.112571" TargetMode="External"/><Relationship Id="rId52" Type="http://schemas.openxmlformats.org/officeDocument/2006/relationships/hyperlink" Target="https://doi.org/10.1016/j.amepre.2019.03.018" TargetMode="External"/><Relationship Id="rId60" Type="http://schemas.openxmlformats.org/officeDocument/2006/relationships/hyperlink" Target="https://doi.org/10.1016/j.socscimed.2019.112571" TargetMode="External"/><Relationship Id="rId65" Type="http://schemas.openxmlformats.org/officeDocument/2006/relationships/hyperlink" Target="https://doi.org/10.1016/j.socscimed.2019.112571" TargetMode="External"/><Relationship Id="rId4" Type="http://schemas.openxmlformats.org/officeDocument/2006/relationships/hyperlink" Target="https://doi.org/10.1108/14608791211238403" TargetMode="External"/><Relationship Id="rId9" Type="http://schemas.openxmlformats.org/officeDocument/2006/relationships/hyperlink" Target="https://doi.org/10.1016/j.healthplace.2010.09.011" TargetMode="External"/><Relationship Id="rId13" Type="http://schemas.openxmlformats.org/officeDocument/2006/relationships/hyperlink" Target="https://doi.org/10.1016/j.amepre.2019.03.018" TargetMode="External"/><Relationship Id="rId18" Type="http://schemas.openxmlformats.org/officeDocument/2006/relationships/hyperlink" Target="https://doi.org/10.1016/j.socscimed.2014.11.043" TargetMode="External"/><Relationship Id="rId39" Type="http://schemas.openxmlformats.org/officeDocument/2006/relationships/hyperlink" Target="https://doi.org/10.1016/j.socscimed.2014.11.043" TargetMode="External"/><Relationship Id="rId34" Type="http://schemas.openxmlformats.org/officeDocument/2006/relationships/hyperlink" Target="https://doi.org/10.1016/j.socscimed.2014.11.043" TargetMode="External"/><Relationship Id="rId50" Type="http://schemas.openxmlformats.org/officeDocument/2006/relationships/hyperlink" Target="https://doi.org/10.1093/pubmed/fdy138" TargetMode="External"/><Relationship Id="rId55" Type="http://schemas.openxmlformats.org/officeDocument/2006/relationships/hyperlink" Target="https://doi.org/10.1016/j.socscimed.2019.11257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FA9FE7845E54E9EF6749A10EE54CF" ma:contentTypeVersion="18" ma:contentTypeDescription="Create a new document." ma:contentTypeScope="" ma:versionID="32e7c80e8e8e3eb98509f2747fde03b6">
  <xsd:schema xmlns:xsd="http://www.w3.org/2001/XMLSchema" xmlns:xs="http://www.w3.org/2001/XMLSchema" xmlns:p="http://schemas.microsoft.com/office/2006/metadata/properties" xmlns:ns2="264555a4-6378-4d68-8c7c-0c521649ff48" xmlns:ns3="1261096a-11e0-426b-b7b2-a0dc3a7ec99d" targetNamespace="http://schemas.microsoft.com/office/2006/metadata/properties" ma:root="true" ma:fieldsID="fc75acd770c44e462ec424f3037cd290" ns2:_="" ns3:_="">
    <xsd:import namespace="264555a4-6378-4d68-8c7c-0c521649ff48"/>
    <xsd:import namespace="1261096a-11e0-426b-b7b2-a0dc3a7ec9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555a4-6378-4d68-8c7c-0c521649ff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61096a-11e0-426b-b7b2-a0dc3a7ec99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0be871-c0b5-41eb-b633-c14de341e6fc}" ma:internalName="TaxCatchAll" ma:showField="CatchAllData" ma:web="1261096a-11e0-426b-b7b2-a0dc3a7ec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xvvu4MJSWmpmZTXYaWnelsbdw==">CgMxLjA4AHIhMVJwOHNMSkc3eHp0bzJlNWFKclI1SFdpNk9jQmlCbUZn</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4555a4-6378-4d68-8c7c-0c521649ff48">
      <Terms xmlns="http://schemas.microsoft.com/office/infopath/2007/PartnerControls"/>
    </lcf76f155ced4ddcb4097134ff3c332f>
    <TaxCatchAll xmlns="1261096a-11e0-426b-b7b2-a0dc3a7ec9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B6416A-250F-4A20-A6FF-B4AF01825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555a4-6378-4d68-8c7c-0c521649ff48"/>
    <ds:schemaRef ds:uri="1261096a-11e0-426b-b7b2-a0dc3a7ec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19CD79B-524C-4567-B146-CC8ADB172359}">
  <ds:schemaRefs>
    <ds:schemaRef ds:uri="http://schemas.microsoft.com/office/2006/metadata/properties"/>
    <ds:schemaRef ds:uri="http://schemas.microsoft.com/office/infopath/2007/PartnerControls"/>
    <ds:schemaRef ds:uri="264555a4-6378-4d68-8c7c-0c521649ff48"/>
    <ds:schemaRef ds:uri="1261096a-11e0-426b-b7b2-a0dc3a7ec99d"/>
  </ds:schemaRefs>
</ds:datastoreItem>
</file>

<file path=customXml/itemProps4.xml><?xml version="1.0" encoding="utf-8"?>
<ds:datastoreItem xmlns:ds="http://schemas.openxmlformats.org/officeDocument/2006/customXml" ds:itemID="{6F21592D-2002-42C1-B9FA-3C24781A8B71}">
  <ds:schemaRefs>
    <ds:schemaRef ds:uri="http://schemas.openxmlformats.org/officeDocument/2006/bibliography"/>
  </ds:schemaRefs>
</ds:datastoreItem>
</file>

<file path=customXml/itemProps5.xml><?xml version="1.0" encoding="utf-8"?>
<ds:datastoreItem xmlns:ds="http://schemas.openxmlformats.org/officeDocument/2006/customXml" ds:itemID="{90654AB7-A5CF-4E55-A976-CD848A033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4057</Words>
  <Characters>23125</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Evidence Summary - SIPHER Layered Systems Map:</vt:lpstr>
    </vt:vector>
  </TitlesOfParts>
  <Company/>
  <LinksUpToDate>false</LinksUpToDate>
  <CharactersWithSpaces>27128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Summary - SIPHER Layered Systems Map:</dc:title>
  <dc:creator>Lisa Garnham</dc:creator>
  <cp:lastModifiedBy>Alison Caldecott</cp:lastModifiedBy>
  <cp:revision>18</cp:revision>
  <dcterms:created xsi:type="dcterms:W3CDTF">2024-10-14T17:02:00Z</dcterms:created>
  <dcterms:modified xsi:type="dcterms:W3CDTF">2024-10-15T21:17:00Z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0x010100CDAFA9FE7845E54E9EF6749A10EE54CF</vt:lpwstr>
  </property>
  <property fmtid="{D5CDD505-2E9C-101B-9397-08002B2CF9AE}" pid="3" name="MediaServiceImageTags">
    <vt:lpwstr/>
  </property>
</Properties>
</file>