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89C16" w14:textId="028B4A56" w:rsidR="00537689" w:rsidRDefault="00537689" w:rsidP="005376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Assessment Changes Reference List </w:t>
      </w:r>
    </w:p>
    <w:p w14:paraId="6BCC6AE3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</w:p>
    <w:p w14:paraId="1A23D967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</w:p>
    <w:p w14:paraId="7050B473" w14:textId="1C2D8A6B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Plagiarism and tech:</w:t>
      </w:r>
      <w:r>
        <w:rPr>
          <w:rStyle w:val="eop"/>
          <w:rFonts w:ascii="Aptos" w:eastAsiaTheme="majorEastAsia" w:hAnsi="Aptos" w:cs="Segoe UI"/>
        </w:rPr>
        <w:t> </w:t>
      </w:r>
    </w:p>
    <w:p w14:paraId="63279A49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Technology “</w:t>
      </w:r>
      <w:r>
        <w:rPr>
          <w:rStyle w:val="normaltextrun"/>
          <w:rFonts w:ascii="Helvetica" w:eastAsiaTheme="majorEastAsia" w:hAnsi="Helvetica" w:cs="Segoe UI"/>
          <w:color w:val="1A1A1A"/>
          <w:shd w:val="clear" w:color="auto" w:fill="FFFFFF"/>
        </w:rPr>
        <w:t xml:space="preserve">mainly modifies the means of cheating rather than encouraging academic dishonesty” </w:t>
      </w:r>
      <w:r>
        <w:rPr>
          <w:rStyle w:val="contentcontrolboundarysink"/>
          <w:rFonts w:ascii="Helvetica" w:eastAsiaTheme="majorEastAsia" w:hAnsi="Helvetica" w:cs="Segoe UI"/>
          <w:color w:val="000000"/>
          <w:shd w:val="clear" w:color="auto" w:fill="FFFFFF"/>
        </w:rPr>
        <w:t>​</w:t>
      </w:r>
      <w:r>
        <w:rPr>
          <w:rStyle w:val="normaltextrun"/>
          <w:rFonts w:ascii="Helvetica" w:eastAsiaTheme="majorEastAsia" w:hAnsi="Helvetica" w:cs="Segoe UI"/>
          <w:color w:val="000000"/>
          <w:shd w:val="clear" w:color="auto" w:fill="FFFFFF"/>
        </w:rPr>
        <w:t>(</w:t>
      </w:r>
      <w:proofErr w:type="spellStart"/>
      <w:r>
        <w:rPr>
          <w:rStyle w:val="normaltextrun"/>
          <w:rFonts w:ascii="Helvetica" w:eastAsiaTheme="majorEastAsia" w:hAnsi="Helvetica" w:cs="Segoe UI"/>
          <w:color w:val="000000"/>
          <w:shd w:val="clear" w:color="auto" w:fill="FFFFFF"/>
        </w:rPr>
        <w:t>Peytcheva</w:t>
      </w:r>
      <w:proofErr w:type="spellEnd"/>
      <w:r>
        <w:rPr>
          <w:rStyle w:val="normaltextrun"/>
          <w:rFonts w:ascii="Helvetica" w:eastAsiaTheme="majorEastAsia" w:hAnsi="Helvetica" w:cs="Segoe UI"/>
          <w:color w:val="000000"/>
          <w:shd w:val="clear" w:color="auto" w:fill="FFFFFF"/>
        </w:rPr>
        <w:t>-Forsyth et al., 2018)</w:t>
      </w:r>
      <w:r>
        <w:rPr>
          <w:rStyle w:val="contentcontrolboundarysink"/>
          <w:rFonts w:ascii="Helvetica" w:eastAsiaTheme="majorEastAsia" w:hAnsi="Helvetica" w:cs="Segoe UI"/>
          <w:color w:val="000000"/>
          <w:shd w:val="clear" w:color="auto" w:fill="FFFFFF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0156BBC3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Quantitative study of 368 dissertations (184 from traditional universities, 184 from online), show “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the notion that online education is more prone to plagiarism is not well supported”</w:t>
      </w:r>
      <w:r>
        <w:rPr>
          <w:rStyle w:val="contentcontrolboundarysink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Ison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, 2014)</w:t>
      </w:r>
      <w:r>
        <w:rPr>
          <w:rStyle w:val="contentcontrolboundarysink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776DE820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Plagiarism and CA@</w:t>
      </w:r>
      <w:r>
        <w:rPr>
          <w:rStyle w:val="eop"/>
          <w:rFonts w:ascii="Aptos" w:eastAsiaTheme="majorEastAsia" w:hAnsi="Aptos" w:cs="Segoe UI"/>
        </w:rPr>
        <w:t> </w:t>
      </w:r>
    </w:p>
    <w:p w14:paraId="4E6F0DFC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color w:val="1F1F1F"/>
        </w:rPr>
        <w:t xml:space="preserve">when </w:t>
      </w:r>
      <w:proofErr w:type="gramStart"/>
      <w:r>
        <w:rPr>
          <w:rStyle w:val="normaltextrun"/>
          <w:rFonts w:ascii="Georgia" w:eastAsiaTheme="majorEastAsia" w:hAnsi="Georgia" w:cs="Segoe UI"/>
          <w:color w:val="1F1F1F"/>
        </w:rPr>
        <w:t>learners  are</w:t>
      </w:r>
      <w:proofErr w:type="gramEnd"/>
      <w:r>
        <w:rPr>
          <w:rStyle w:val="normaltextrun"/>
          <w:rFonts w:ascii="Georgia" w:eastAsiaTheme="majorEastAsia" w:hAnsi="Georgia" w:cs="Segoe UI"/>
          <w:color w:val="1F1F1F"/>
        </w:rPr>
        <w:t xml:space="preserve"> enabled to “adopt a performance goal orientation” rather than a ‘learning goal orientation’ and have the ability to recognize and use [applicable technology], the likelihood of them to engage in digital plagiarism increased.”</w:t>
      </w:r>
      <w:r>
        <w:rPr>
          <w:rStyle w:val="contentcontrolboundarysink"/>
          <w:rFonts w:eastAsiaTheme="majorEastAsia"/>
          <w:color w:val="1F1F1F"/>
        </w:rPr>
        <w:t>​</w:t>
      </w:r>
      <w:r>
        <w:rPr>
          <w:rStyle w:val="normaltextrun"/>
          <w:rFonts w:ascii="Aptos" w:eastAsiaTheme="majorEastAsia" w:hAnsi="Aptos" w:cs="Segoe UI"/>
        </w:rPr>
        <w:t>(Kauffman &amp; Young, 2015)</w:t>
      </w:r>
      <w:r>
        <w:rPr>
          <w:rStyle w:val="contentcontrolboundarysink"/>
          <w:rFonts w:eastAsiaTheme="majorEastAsia"/>
          <w:color w:val="1F1F1F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15785364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“</w:t>
      </w:r>
      <w:proofErr w:type="spellStart"/>
      <w:r>
        <w:rPr>
          <w:rStyle w:val="normaltextrun"/>
          <w:rFonts w:ascii="Aptos" w:eastAsiaTheme="majorEastAsia" w:hAnsi="Aptos" w:cs="Segoe UI"/>
        </w:rPr>
        <w:t>A</w:t>
      </w:r>
      <w:r>
        <w:rPr>
          <w:rStyle w:val="normaltextrun"/>
          <w:rFonts w:ascii="Arial" w:eastAsiaTheme="majorEastAsia" w:hAnsi="Arial" w:cs="Arial"/>
          <w:color w:val="666666"/>
          <w:sz w:val="21"/>
          <w:szCs w:val="21"/>
          <w:shd w:val="clear" w:color="auto" w:fill="FFFFFF"/>
        </w:rPr>
        <w:t>tivities</w:t>
      </w:r>
      <w:proofErr w:type="spellEnd"/>
      <w:r>
        <w:rPr>
          <w:rStyle w:val="normaltextrun"/>
          <w:rFonts w:ascii="Arial" w:eastAsiaTheme="majorEastAsia" w:hAnsi="Arial" w:cs="Arial"/>
          <w:color w:val="666666"/>
          <w:sz w:val="21"/>
          <w:szCs w:val="21"/>
          <w:shd w:val="clear" w:color="auto" w:fill="FFFFFF"/>
        </w:rPr>
        <w:t xml:space="preserve"> that have a lower rate of plagiarism are activities that encourage involvement, originality and creativity.” And comparisons to activities redesigned with these qualities “show a significant drop in the percentages of plagiarism” </w:t>
      </w:r>
      <w:r>
        <w:rPr>
          <w:rStyle w:val="contentcontrolboundarysink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>​</w:t>
      </w:r>
      <w:r>
        <w:rPr>
          <w:rStyle w:val="normaltextrun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>(Gómez-Espinosa et al., 2016)</w:t>
      </w:r>
      <w:r>
        <w:rPr>
          <w:rStyle w:val="contentcontrolboundarysink"/>
          <w:rFonts w:ascii="Arial" w:eastAsiaTheme="majorEastAsia" w:hAnsi="Arial" w:cs="Arial"/>
          <w:color w:val="000000"/>
          <w:sz w:val="21"/>
          <w:szCs w:val="21"/>
          <w:shd w:val="clear" w:color="auto" w:fill="FFFFFF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4423EACF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0F3EBFB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Engagement and inclusivity:</w:t>
      </w:r>
      <w:r>
        <w:rPr>
          <w:rStyle w:val="eop"/>
          <w:rFonts w:ascii="Aptos" w:eastAsiaTheme="majorEastAsia" w:hAnsi="Aptos" w:cs="Segoe UI"/>
        </w:rPr>
        <w:t> </w:t>
      </w:r>
    </w:p>
    <w:p w14:paraId="18B0BB6D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Framework: </w:t>
      </w: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</w:rPr>
        <w:t>(Garden &amp; Rivera, 1 C.E.; Kahu, 2013; Kahu &amp; Nelson, 2018; Rivera &amp; Garden, 2021)</w:t>
      </w: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4F1303C3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Engagement is inclusivity: </w:t>
      </w:r>
      <w:r>
        <w:rPr>
          <w:rStyle w:val="contentcontrolboundarysink"/>
          <w:rFonts w:ascii="Arial" w:eastAsiaTheme="majorEastAsia" w:hAnsi="Arial" w:cs="Arial"/>
          <w:color w:val="000000"/>
        </w:rPr>
        <w:t>​</w:t>
      </w:r>
      <w:r>
        <w:rPr>
          <w:rStyle w:val="normaltextrun"/>
          <w:rFonts w:ascii="Aptos" w:eastAsiaTheme="majorEastAsia" w:hAnsi="Aptos" w:cs="Segoe UI"/>
          <w:color w:val="000000"/>
        </w:rPr>
        <w:t>(Hockings, 2010)</w:t>
      </w:r>
      <w:r>
        <w:rPr>
          <w:rStyle w:val="contentcontrolboundarysink"/>
          <w:rFonts w:ascii="Arial" w:eastAsiaTheme="majorEastAsia" w:hAnsi="Arial" w:cs="Arial"/>
          <w:color w:val="000000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27842E67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ptos" w:eastAsiaTheme="majorEastAsia" w:hAnsi="Aptos" w:cs="Segoe UI"/>
          <w:lang w:val="fr-FR"/>
        </w:rPr>
        <w:t>Exclusion:</w:t>
      </w:r>
      <w:proofErr w:type="gramEnd"/>
      <w:r>
        <w:rPr>
          <w:rStyle w:val="normaltextrun"/>
          <w:rFonts w:ascii="Aptos" w:eastAsiaTheme="majorEastAsia" w:hAnsi="Aptos" w:cs="Segoe UI"/>
          <w:lang w:val="fr-FR"/>
        </w:rPr>
        <w:t xml:space="preserve"> </w:t>
      </w:r>
      <w:r>
        <w:rPr>
          <w:rStyle w:val="contentcontrolboundarysink"/>
          <w:rFonts w:ascii="Arial" w:eastAsiaTheme="majorEastAsia" w:hAnsi="Arial" w:cs="Arial"/>
          <w:color w:val="000000"/>
        </w:rPr>
        <w:t>​</w:t>
      </w:r>
      <w:r>
        <w:rPr>
          <w:rStyle w:val="normaltextrun"/>
          <w:rFonts w:ascii="Aptos" w:eastAsiaTheme="majorEastAsia" w:hAnsi="Aptos" w:cs="Segoe UI"/>
          <w:color w:val="000000"/>
          <w:lang w:val="fr-FR"/>
        </w:rPr>
        <w:t>(Foucault, 1971)</w:t>
      </w:r>
      <w:r>
        <w:rPr>
          <w:rStyle w:val="contentcontrolboundarysink"/>
          <w:rFonts w:ascii="Arial" w:eastAsiaTheme="majorEastAsia" w:hAnsi="Arial" w:cs="Arial"/>
          <w:color w:val="000000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14F4E1BD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fr-FR"/>
        </w:rPr>
        <w:t xml:space="preserve">Social </w:t>
      </w:r>
      <w:proofErr w:type="spellStart"/>
      <w:proofErr w:type="gramStart"/>
      <w:r>
        <w:rPr>
          <w:rStyle w:val="normaltextrun"/>
          <w:rFonts w:ascii="Aptos" w:eastAsiaTheme="majorEastAsia" w:hAnsi="Aptos" w:cs="Segoe UI"/>
          <w:lang w:val="fr-FR"/>
        </w:rPr>
        <w:t>constructivism</w:t>
      </w:r>
      <w:proofErr w:type="spellEnd"/>
      <w:r>
        <w:rPr>
          <w:rStyle w:val="normaltextrun"/>
          <w:rFonts w:ascii="Aptos" w:eastAsiaTheme="majorEastAsia" w:hAnsi="Aptos" w:cs="Segoe UI"/>
          <w:lang w:val="fr-FR"/>
        </w:rPr>
        <w:t>:</w:t>
      </w:r>
      <w:proofErr w:type="gramEnd"/>
      <w:r>
        <w:rPr>
          <w:rStyle w:val="normaltextrun"/>
          <w:rFonts w:ascii="Aptos" w:eastAsiaTheme="majorEastAsia" w:hAnsi="Aptos" w:cs="Segoe UI"/>
          <w:lang w:val="fr-FR"/>
        </w:rPr>
        <w:t xml:space="preserve"> </w:t>
      </w: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  <w:lang w:val="fr-FR"/>
        </w:rPr>
        <w:t>(Vygotsky &amp; Cole, 2018)</w:t>
      </w: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1184CB9B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da-DK"/>
        </w:rPr>
        <w:t xml:space="preserve">The brain: </w:t>
      </w:r>
      <w:r>
        <w:rPr>
          <w:rStyle w:val="contentcontrolboundarysink"/>
          <w:rFonts w:ascii="Arial" w:eastAsiaTheme="majorEastAsia" w:hAnsi="Arial" w:cs="Arial"/>
          <w:color w:val="000000"/>
        </w:rPr>
        <w:t>​</w:t>
      </w:r>
      <w:r>
        <w:rPr>
          <w:rStyle w:val="normaltextrun"/>
          <w:rFonts w:ascii="Aptos" w:eastAsiaTheme="majorEastAsia" w:hAnsi="Aptos" w:cs="Segoe UI"/>
          <w:color w:val="000000"/>
          <w:lang w:val="da-DK"/>
        </w:rPr>
        <w:t>(Kiat et al., 2018; Raufelder et al., 2021)</w:t>
      </w:r>
      <w:r>
        <w:rPr>
          <w:rStyle w:val="contentcontrolboundarysink"/>
          <w:rFonts w:ascii="Arial" w:eastAsiaTheme="majorEastAsia" w:hAnsi="Arial" w:cs="Arial"/>
          <w:color w:val="000000"/>
        </w:rPr>
        <w:t>​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E83B8C6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E545801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4C0CA32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319C3F9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​​</w:t>
      </w:r>
      <w:r>
        <w:rPr>
          <w:rStyle w:val="normaltextrun"/>
          <w:rFonts w:ascii="Aptos" w:eastAsiaTheme="majorEastAsia" w:hAnsi="Aptos" w:cs="Segoe UI"/>
        </w:rPr>
        <w:t xml:space="preserve">Foucault, M. (1971). Orders of discourse. </w:t>
      </w:r>
      <w:r>
        <w:rPr>
          <w:rStyle w:val="normaltextrun"/>
          <w:rFonts w:ascii="Aptos" w:eastAsiaTheme="majorEastAsia" w:hAnsi="Aptos" w:cs="Segoe UI"/>
          <w:i/>
          <w:iCs/>
          <w:lang w:val="fr-FR"/>
        </w:rPr>
        <w:t>Social Science Information</w:t>
      </w:r>
      <w:r>
        <w:rPr>
          <w:rStyle w:val="normaltextrun"/>
          <w:rFonts w:ascii="Aptos" w:eastAsiaTheme="majorEastAsia" w:hAnsi="Aptos" w:cs="Segoe UI"/>
          <w:lang w:val="fr-FR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  <w:lang w:val="fr-FR"/>
        </w:rPr>
        <w:t>10</w:t>
      </w:r>
      <w:r>
        <w:rPr>
          <w:rStyle w:val="normaltextrun"/>
          <w:rFonts w:ascii="Aptos" w:eastAsiaTheme="majorEastAsia" w:hAnsi="Aptos" w:cs="Segoe UI"/>
          <w:lang w:val="fr-FR"/>
        </w:rPr>
        <w:t>(2). https://doi.org/10.1177/053901847101000201</w:t>
      </w:r>
      <w:r>
        <w:rPr>
          <w:rStyle w:val="eop"/>
          <w:rFonts w:ascii="Aptos" w:eastAsiaTheme="majorEastAsia" w:hAnsi="Aptos" w:cs="Segoe UI"/>
        </w:rPr>
        <w:t> </w:t>
      </w:r>
    </w:p>
    <w:p w14:paraId="0E7FD8D7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</w:rPr>
        <w:t xml:space="preserve">Garden, C. L. P., &amp; Rivera, E. S. (1 C.E.). Gamified Learning in Higher Education: An Instructional Design Method to Improve Engagement. </w:t>
      </w:r>
      <w:r>
        <w:rPr>
          <w:rStyle w:val="normaltextrun"/>
          <w:rFonts w:ascii="Aptos" w:eastAsiaTheme="majorEastAsia" w:hAnsi="Aptos" w:cs="Segoe UI"/>
          <w:i/>
          <w:iCs/>
        </w:rPr>
        <w:t>Https://Services.Igi-Global.Com/Resolvedoi/Resolve.Aspx?Doi=10.4018/978-1-6684-4287-6.Ch025</w:t>
      </w:r>
      <w:r>
        <w:rPr>
          <w:rStyle w:val="normaltextrun"/>
          <w:rFonts w:ascii="Aptos" w:eastAsiaTheme="majorEastAsia" w:hAnsi="Aptos" w:cs="Segoe UI"/>
        </w:rPr>
        <w:t>, 497–520. https://doi.org/10.4018/978-1-6684-4287-6.CH025</w:t>
      </w:r>
      <w:r>
        <w:rPr>
          <w:rStyle w:val="eop"/>
          <w:rFonts w:ascii="Aptos" w:eastAsiaTheme="majorEastAsia" w:hAnsi="Aptos" w:cs="Segoe UI"/>
        </w:rPr>
        <w:t> </w:t>
      </w:r>
    </w:p>
    <w:p w14:paraId="59AE581E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 w:rsidRPr="00537689">
        <w:rPr>
          <w:rStyle w:val="contentcontrolboundarysink"/>
          <w:rFonts w:ascii="Arial" w:eastAsiaTheme="majorEastAsia" w:hAnsi="Arial" w:cs="Arial"/>
          <w:lang w:val="es-US"/>
        </w:rPr>
        <w:t>​</w:t>
      </w:r>
      <w:r w:rsidRPr="00537689">
        <w:rPr>
          <w:rStyle w:val="normaltextrun"/>
          <w:rFonts w:ascii="Aptos" w:eastAsiaTheme="majorEastAsia" w:hAnsi="Aptos" w:cs="Segoe UI"/>
          <w:lang w:val="es-US"/>
        </w:rPr>
        <w:t xml:space="preserve">Gómez-Espinosa, M., Francisco, V., &amp; Moreno-Ger, P. (2016). </w:t>
      </w:r>
      <w:r>
        <w:rPr>
          <w:rStyle w:val="normaltextrun"/>
          <w:rFonts w:ascii="Aptos" w:eastAsiaTheme="majorEastAsia" w:hAnsi="Aptos" w:cs="Segoe UI"/>
        </w:rPr>
        <w:t xml:space="preserve">The impact of activity design </w:t>
      </w:r>
      <w:proofErr w:type="gramStart"/>
      <w:r>
        <w:rPr>
          <w:rStyle w:val="normaltextrun"/>
          <w:rFonts w:ascii="Aptos" w:eastAsiaTheme="majorEastAsia" w:hAnsi="Aptos" w:cs="Segoe UI"/>
        </w:rPr>
        <w:t>in</w:t>
      </w:r>
      <w:proofErr w:type="gramEnd"/>
      <w:r>
        <w:rPr>
          <w:rStyle w:val="normaltextrun"/>
          <w:rFonts w:ascii="Aptos" w:eastAsiaTheme="majorEastAsia" w:hAnsi="Aptos" w:cs="Segoe UI"/>
        </w:rPr>
        <w:t xml:space="preserve"> internet plagiarism in Higher Education.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Comunicar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</w:rPr>
        <w:t>24</w:t>
      </w:r>
      <w:r>
        <w:rPr>
          <w:rStyle w:val="normaltextrun"/>
          <w:rFonts w:ascii="Aptos" w:eastAsiaTheme="majorEastAsia" w:hAnsi="Aptos" w:cs="Segoe UI"/>
        </w:rPr>
        <w:t>(48). https://doi.org/10.3916/C48-2016-04</w:t>
      </w:r>
      <w:r>
        <w:rPr>
          <w:rStyle w:val="eop"/>
          <w:rFonts w:ascii="Aptos" w:eastAsiaTheme="majorEastAsia" w:hAnsi="Aptos" w:cs="Segoe UI"/>
        </w:rPr>
        <w:t> </w:t>
      </w:r>
    </w:p>
    <w:p w14:paraId="10776798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</w:rPr>
        <w:t xml:space="preserve">Hockings, C. (2010). Inclusive learning and teaching in higher education: a synthesis of research.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Retreived</w:t>
      </w:r>
      <w:proofErr w:type="spellEnd"/>
      <w:r>
        <w:rPr>
          <w:rStyle w:val="normaltextrun"/>
          <w:rFonts w:ascii="Aptos" w:eastAsiaTheme="majorEastAsia" w:hAnsi="Aptos" w:cs="Segoe UI"/>
          <w:i/>
          <w:iCs/>
        </w:rPr>
        <w:t xml:space="preserve"> August</w:t>
      </w:r>
      <w:r>
        <w:rPr>
          <w:rStyle w:val="normaltextrun"/>
          <w:rFonts w:ascii="Aptos" w:eastAsiaTheme="majorEastAsia" w:hAnsi="Aptos" w:cs="Segoe UI"/>
        </w:rPr>
        <w:t xml:space="preserve">, </w:t>
      </w:r>
      <w:proofErr w:type="gramStart"/>
      <w:r>
        <w:rPr>
          <w:rStyle w:val="normaltextrun"/>
          <w:rFonts w:ascii="Aptos" w:eastAsiaTheme="majorEastAsia" w:hAnsi="Aptos" w:cs="Segoe UI"/>
          <w:i/>
          <w:iCs/>
        </w:rPr>
        <w:t>April</w:t>
      </w:r>
      <w:r>
        <w:rPr>
          <w:rStyle w:val="normaltextrun"/>
          <w:rFonts w:ascii="Aptos" w:eastAsiaTheme="majorEastAsia" w:hAnsi="Aptos" w:cs="Segoe UI"/>
        </w:rPr>
        <w:t>,</w:t>
      </w:r>
      <w:proofErr w:type="gramEnd"/>
      <w:r>
        <w:rPr>
          <w:rStyle w:val="normaltextrun"/>
          <w:rFonts w:ascii="Aptos" w:eastAsiaTheme="majorEastAsia" w:hAnsi="Aptos" w:cs="Segoe UI"/>
        </w:rPr>
        <w:t xml:space="preserve"> 1–67.</w:t>
      </w:r>
      <w:r>
        <w:rPr>
          <w:rStyle w:val="eop"/>
          <w:rFonts w:ascii="Aptos" w:eastAsiaTheme="majorEastAsia" w:hAnsi="Aptos" w:cs="Segoe UI"/>
        </w:rPr>
        <w:t> </w:t>
      </w:r>
    </w:p>
    <w:p w14:paraId="4FCDECE3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proofErr w:type="spellStart"/>
      <w:r>
        <w:rPr>
          <w:rStyle w:val="normaltextrun"/>
          <w:rFonts w:ascii="Aptos" w:eastAsiaTheme="majorEastAsia" w:hAnsi="Aptos" w:cs="Segoe UI"/>
        </w:rPr>
        <w:t>Ison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D. C. (2014). Does the Online Environment Promote Plagiarism? A Comparative Study of Dissertations from Brick-and-Mortar versus Online Institutions. </w:t>
      </w:r>
      <w:r>
        <w:rPr>
          <w:rStyle w:val="normaltextrun"/>
          <w:rFonts w:ascii="Aptos" w:eastAsiaTheme="majorEastAsia" w:hAnsi="Aptos" w:cs="Segoe UI"/>
          <w:i/>
          <w:iCs/>
        </w:rPr>
        <w:t>Journal of Online Learning &amp; Teaching</w:t>
      </w:r>
      <w:r>
        <w:rPr>
          <w:rStyle w:val="normaltextrun"/>
          <w:rFonts w:ascii="Aptos" w:eastAsiaTheme="majorEastAsia" w:hAnsi="Aptos" w:cs="Segoe UI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</w:rPr>
        <w:t>10</w:t>
      </w:r>
      <w:r>
        <w:rPr>
          <w:rStyle w:val="normaltextrun"/>
          <w:rFonts w:ascii="Aptos" w:eastAsiaTheme="majorEastAsia" w:hAnsi="Aptos" w:cs="Segoe UI"/>
        </w:rPr>
        <w:t>(2).</w:t>
      </w:r>
      <w:r>
        <w:rPr>
          <w:rStyle w:val="eop"/>
          <w:rFonts w:ascii="Aptos" w:eastAsiaTheme="majorEastAsia" w:hAnsi="Aptos" w:cs="Segoe UI"/>
        </w:rPr>
        <w:t> </w:t>
      </w:r>
    </w:p>
    <w:p w14:paraId="2A05A2EC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</w:rPr>
        <w:t xml:space="preserve">Kahu, E. R. (2013). Framing student engagement in higher education. </w:t>
      </w:r>
      <w:r>
        <w:rPr>
          <w:rStyle w:val="normaltextrun"/>
          <w:rFonts w:ascii="Aptos" w:eastAsiaTheme="majorEastAsia" w:hAnsi="Aptos" w:cs="Segoe UI"/>
          <w:i/>
          <w:iCs/>
        </w:rPr>
        <w:t>Studies in Higher Education</w:t>
      </w:r>
      <w:r>
        <w:rPr>
          <w:rStyle w:val="normaltextrun"/>
          <w:rFonts w:ascii="Aptos" w:eastAsiaTheme="majorEastAsia" w:hAnsi="Aptos" w:cs="Segoe UI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</w:rPr>
        <w:t>38</w:t>
      </w:r>
      <w:r>
        <w:rPr>
          <w:rStyle w:val="normaltextrun"/>
          <w:rFonts w:ascii="Aptos" w:eastAsiaTheme="majorEastAsia" w:hAnsi="Aptos" w:cs="Segoe UI"/>
        </w:rPr>
        <w:t>(5), 758–773. https://doi.org/10.1080/03075079.2011.598505</w:t>
      </w:r>
      <w:r>
        <w:rPr>
          <w:rStyle w:val="eop"/>
          <w:rFonts w:ascii="Aptos" w:eastAsiaTheme="majorEastAsia" w:hAnsi="Aptos" w:cs="Segoe UI"/>
        </w:rPr>
        <w:t> </w:t>
      </w:r>
    </w:p>
    <w:p w14:paraId="35480523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lastRenderedPageBreak/>
        <w:t>​</w:t>
      </w:r>
      <w:r>
        <w:rPr>
          <w:rStyle w:val="normaltextrun"/>
          <w:rFonts w:ascii="Aptos" w:eastAsiaTheme="majorEastAsia" w:hAnsi="Aptos" w:cs="Segoe UI"/>
        </w:rPr>
        <w:t xml:space="preserve">Kahu, E. R., &amp; Nelson, K. (2018). Student engagement in the educational interface: understanding the mechanisms of student success. </w:t>
      </w:r>
      <w:r>
        <w:rPr>
          <w:rStyle w:val="normaltextrun"/>
          <w:rFonts w:ascii="Aptos" w:eastAsiaTheme="majorEastAsia" w:hAnsi="Aptos" w:cs="Segoe UI"/>
          <w:i/>
          <w:iCs/>
        </w:rPr>
        <w:t>Higher Education Research and Development</w:t>
      </w:r>
      <w:r>
        <w:rPr>
          <w:rStyle w:val="normaltextrun"/>
          <w:rFonts w:ascii="Aptos" w:eastAsiaTheme="majorEastAsia" w:hAnsi="Aptos" w:cs="Segoe UI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</w:rPr>
        <w:t>37</w:t>
      </w:r>
      <w:r>
        <w:rPr>
          <w:rStyle w:val="normaltextrun"/>
          <w:rFonts w:ascii="Aptos" w:eastAsiaTheme="majorEastAsia" w:hAnsi="Aptos" w:cs="Segoe UI"/>
        </w:rPr>
        <w:t>(1), 58–71. https://doi.org/10.1080/07294360.2017.1344197</w:t>
      </w:r>
      <w:r>
        <w:rPr>
          <w:rStyle w:val="eop"/>
          <w:rFonts w:ascii="Aptos" w:eastAsiaTheme="majorEastAsia" w:hAnsi="Aptos" w:cs="Segoe UI"/>
        </w:rPr>
        <w:t> </w:t>
      </w:r>
    </w:p>
    <w:p w14:paraId="26F9DB8B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</w:rPr>
        <w:t xml:space="preserve">Kauffman, Y., &amp; Young, M. F. (2015). Digital plagiarism: An experimental study of the effect of instructional goals and copy-and-paste affordance. </w:t>
      </w:r>
      <w:r>
        <w:rPr>
          <w:rStyle w:val="normaltextrun"/>
          <w:rFonts w:ascii="Aptos" w:eastAsiaTheme="majorEastAsia" w:hAnsi="Aptos" w:cs="Segoe UI"/>
          <w:i/>
          <w:iCs/>
        </w:rPr>
        <w:t>Computers &amp; Education</w:t>
      </w:r>
      <w:r>
        <w:rPr>
          <w:rStyle w:val="normaltextrun"/>
          <w:rFonts w:ascii="Aptos" w:eastAsiaTheme="majorEastAsia" w:hAnsi="Aptos" w:cs="Segoe UI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</w:rPr>
        <w:t>83</w:t>
      </w:r>
      <w:r>
        <w:rPr>
          <w:rStyle w:val="normaltextrun"/>
          <w:rFonts w:ascii="Aptos" w:eastAsiaTheme="majorEastAsia" w:hAnsi="Aptos" w:cs="Segoe UI"/>
        </w:rPr>
        <w:t>, 44–56. https://doi.org/10.1016/J.COMPEDU.2014.12.016</w:t>
      </w:r>
      <w:r>
        <w:rPr>
          <w:rStyle w:val="eop"/>
          <w:rFonts w:ascii="Aptos" w:eastAsiaTheme="majorEastAsia" w:hAnsi="Aptos" w:cs="Segoe UI"/>
        </w:rPr>
        <w:t> </w:t>
      </w:r>
    </w:p>
    <w:p w14:paraId="5A683671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</w:rPr>
        <w:t xml:space="preserve">Kiat, J. E., Cheadle, J. E., &amp; Goosby, B. J. (2018). The impact of social exclusion on anticipatory attentional processing. </w:t>
      </w:r>
      <w:r>
        <w:rPr>
          <w:rStyle w:val="normaltextrun"/>
          <w:rFonts w:ascii="Aptos" w:eastAsiaTheme="majorEastAsia" w:hAnsi="Aptos" w:cs="Segoe UI"/>
          <w:i/>
          <w:iCs/>
        </w:rPr>
        <w:t>International Journal of Psychophysiology</w:t>
      </w:r>
      <w:r>
        <w:rPr>
          <w:rStyle w:val="normaltextrun"/>
          <w:rFonts w:ascii="Aptos" w:eastAsiaTheme="majorEastAsia" w:hAnsi="Aptos" w:cs="Segoe UI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</w:rPr>
        <w:t>123</w:t>
      </w:r>
      <w:r>
        <w:rPr>
          <w:rStyle w:val="normaltextrun"/>
          <w:rFonts w:ascii="Aptos" w:eastAsiaTheme="majorEastAsia" w:hAnsi="Aptos" w:cs="Segoe UI"/>
        </w:rPr>
        <w:t>. https://doi.org/10.1016/j.ijpsycho.2017.11.010</w:t>
      </w:r>
      <w:r>
        <w:rPr>
          <w:rStyle w:val="eop"/>
          <w:rFonts w:ascii="Aptos" w:eastAsiaTheme="majorEastAsia" w:hAnsi="Aptos" w:cs="Segoe UI"/>
        </w:rPr>
        <w:t> </w:t>
      </w:r>
    </w:p>
    <w:p w14:paraId="6AFD69CF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proofErr w:type="spellStart"/>
      <w:r>
        <w:rPr>
          <w:rStyle w:val="normaltextrun"/>
          <w:rFonts w:ascii="Aptos" w:eastAsiaTheme="majorEastAsia" w:hAnsi="Aptos" w:cs="Segoe UI"/>
        </w:rPr>
        <w:t>Peytcheva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-Forsyth, R., </w:t>
      </w:r>
      <w:proofErr w:type="spellStart"/>
      <w:r>
        <w:rPr>
          <w:rStyle w:val="normaltextrun"/>
          <w:rFonts w:ascii="Aptos" w:eastAsiaTheme="majorEastAsia" w:hAnsi="Aptos" w:cs="Segoe UI"/>
        </w:rPr>
        <w:t>Aleksieva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L., &amp; </w:t>
      </w:r>
      <w:proofErr w:type="spellStart"/>
      <w:r>
        <w:rPr>
          <w:rStyle w:val="normaltextrun"/>
          <w:rFonts w:ascii="Aptos" w:eastAsiaTheme="majorEastAsia" w:hAnsi="Aptos" w:cs="Segoe UI"/>
        </w:rPr>
        <w:t>Yovkova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B. (2018). The impact of technology on cheating and plagiarism in the assessment - The teachers’ and students’ perspectives. </w:t>
      </w:r>
      <w:r>
        <w:rPr>
          <w:rStyle w:val="normaltextrun"/>
          <w:rFonts w:ascii="Aptos" w:eastAsiaTheme="majorEastAsia" w:hAnsi="Aptos" w:cs="Segoe UI"/>
          <w:i/>
          <w:iCs/>
        </w:rPr>
        <w:t>AIP Conference Proceedings</w:t>
      </w:r>
      <w:r>
        <w:rPr>
          <w:rStyle w:val="normaltextrun"/>
          <w:rFonts w:ascii="Aptos" w:eastAsiaTheme="majorEastAsia" w:hAnsi="Aptos" w:cs="Segoe UI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</w:rPr>
        <w:t>2048</w:t>
      </w:r>
      <w:r>
        <w:rPr>
          <w:rStyle w:val="normaltextrun"/>
          <w:rFonts w:ascii="Aptos" w:eastAsiaTheme="majorEastAsia" w:hAnsi="Aptos" w:cs="Segoe UI"/>
        </w:rPr>
        <w:t>. https://doi.org/10.1063/1.5082055</w:t>
      </w:r>
      <w:r>
        <w:rPr>
          <w:rStyle w:val="eop"/>
          <w:rFonts w:ascii="Aptos" w:eastAsiaTheme="majorEastAsia" w:hAnsi="Aptos" w:cs="Segoe UI"/>
        </w:rPr>
        <w:t> </w:t>
      </w:r>
    </w:p>
    <w:p w14:paraId="16D12576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proofErr w:type="spellStart"/>
      <w:r>
        <w:rPr>
          <w:rStyle w:val="normaltextrun"/>
          <w:rFonts w:ascii="Aptos" w:eastAsiaTheme="majorEastAsia" w:hAnsi="Aptos" w:cs="Segoe UI"/>
        </w:rPr>
        <w:t>Raufelder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D., Neumann, N., Domin, M., Lorenz, R. C., Gleich, T., Golde, S., </w:t>
      </w:r>
      <w:proofErr w:type="spellStart"/>
      <w:r>
        <w:rPr>
          <w:rStyle w:val="normaltextrun"/>
          <w:rFonts w:ascii="Aptos" w:eastAsiaTheme="majorEastAsia" w:hAnsi="Aptos" w:cs="Segoe UI"/>
        </w:rPr>
        <w:t>Romund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L., Beck, A., &amp; </w:t>
      </w:r>
      <w:proofErr w:type="spellStart"/>
      <w:r>
        <w:rPr>
          <w:rStyle w:val="normaltextrun"/>
          <w:rFonts w:ascii="Aptos" w:eastAsiaTheme="majorEastAsia" w:hAnsi="Aptos" w:cs="Segoe UI"/>
        </w:rPr>
        <w:t>Hoferichter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, F. (2021). Do Belonging and Social Exclusion at School Affect Structural Brain Development During Adolescence? </w:t>
      </w:r>
      <w:r>
        <w:rPr>
          <w:rStyle w:val="normaltextrun"/>
          <w:rFonts w:ascii="Aptos" w:eastAsiaTheme="majorEastAsia" w:hAnsi="Aptos" w:cs="Segoe UI"/>
          <w:i/>
          <w:iCs/>
        </w:rPr>
        <w:t>Child Development</w:t>
      </w:r>
      <w:r>
        <w:rPr>
          <w:rStyle w:val="normaltextrun"/>
          <w:rFonts w:ascii="Aptos" w:eastAsiaTheme="majorEastAsia" w:hAnsi="Aptos" w:cs="Segoe UI"/>
        </w:rPr>
        <w:t xml:space="preserve">, </w:t>
      </w:r>
      <w:r>
        <w:rPr>
          <w:rStyle w:val="normaltextrun"/>
          <w:rFonts w:ascii="Aptos" w:eastAsiaTheme="majorEastAsia" w:hAnsi="Aptos" w:cs="Segoe UI"/>
          <w:i/>
          <w:iCs/>
        </w:rPr>
        <w:t>92</w:t>
      </w:r>
      <w:r>
        <w:rPr>
          <w:rStyle w:val="normaltextrun"/>
          <w:rFonts w:ascii="Aptos" w:eastAsiaTheme="majorEastAsia" w:hAnsi="Aptos" w:cs="Segoe UI"/>
        </w:rPr>
        <w:t>(6). https://doi.org/10.1111/cdev.13613</w:t>
      </w:r>
      <w:r>
        <w:rPr>
          <w:rStyle w:val="eop"/>
          <w:rFonts w:ascii="Aptos" w:eastAsiaTheme="majorEastAsia" w:hAnsi="Aptos" w:cs="Segoe UI"/>
        </w:rPr>
        <w:t> </w:t>
      </w:r>
    </w:p>
    <w:p w14:paraId="7096CBB3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</w:rPr>
        <w:t xml:space="preserve">Rivera, E. S., &amp; Garden, C. L. P. (2021). Gamification for student engagement: a framework. </w:t>
      </w:r>
      <w:r>
        <w:rPr>
          <w:rStyle w:val="normaltextrun"/>
          <w:rFonts w:ascii="Aptos" w:eastAsiaTheme="majorEastAsia" w:hAnsi="Aptos" w:cs="Segoe UI"/>
          <w:i/>
          <w:iCs/>
        </w:rPr>
        <w:t>Journal of Further and Higher Education</w:t>
      </w:r>
      <w:r>
        <w:rPr>
          <w:rStyle w:val="normaltextrun"/>
          <w:rFonts w:ascii="Aptos" w:eastAsiaTheme="majorEastAsia" w:hAnsi="Aptos" w:cs="Segoe UI"/>
        </w:rPr>
        <w:t>. https://doi.org/10.1080/0309877X.2021.1875201</w:t>
      </w:r>
      <w:r>
        <w:rPr>
          <w:rStyle w:val="eop"/>
          <w:rFonts w:ascii="Aptos" w:eastAsiaTheme="majorEastAsia" w:hAnsi="Aptos" w:cs="Segoe UI"/>
        </w:rPr>
        <w:t> </w:t>
      </w:r>
    </w:p>
    <w:p w14:paraId="641175D4" w14:textId="77777777" w:rsidR="00537689" w:rsidRDefault="00537689" w:rsidP="00537689">
      <w:pPr>
        <w:pStyle w:val="paragraph"/>
        <w:spacing w:before="0" w:beforeAutospacing="0" w:after="0" w:afterAutospacing="0"/>
        <w:ind w:hanging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ptos" w:eastAsiaTheme="majorEastAsia" w:hAnsi="Aptos" w:cs="Segoe UI"/>
        </w:rPr>
        <w:t xml:space="preserve">Vygotsky, L., &amp; Cole, M. (2018). Lev Vygotsky: Learning and Social Constructivism. </w:t>
      </w:r>
      <w:r>
        <w:rPr>
          <w:rStyle w:val="normaltextrun"/>
          <w:rFonts w:ascii="Aptos" w:eastAsiaTheme="majorEastAsia" w:hAnsi="Aptos" w:cs="Segoe UI"/>
          <w:i/>
          <w:iCs/>
        </w:rPr>
        <w:t>Learning Theories for Early Years Practice</w:t>
      </w:r>
      <w:r>
        <w:rPr>
          <w:rStyle w:val="normaltextrun"/>
          <w:rFonts w:ascii="Aptos" w:eastAsiaTheme="majorEastAsia" w:hAnsi="Aptos" w:cs="Segoe UI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0CE24420" w14:textId="77777777" w:rsidR="00537689" w:rsidRDefault="00537689" w:rsidP="00537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contentcontrolboundarysink"/>
          <w:rFonts w:ascii="Arial" w:eastAsiaTheme="majorEastAsia" w:hAnsi="Arial" w:cs="Arial"/>
        </w:rPr>
        <w:t>​</w:t>
      </w:r>
      <w:r>
        <w:rPr>
          <w:rStyle w:val="eop"/>
          <w:rFonts w:ascii="Aptos" w:eastAsiaTheme="majorEastAsia" w:hAnsi="Aptos" w:cs="Segoe UI"/>
        </w:rPr>
        <w:t> </w:t>
      </w:r>
    </w:p>
    <w:p w14:paraId="44861FCD" w14:textId="77777777" w:rsidR="006A3858" w:rsidRDefault="006A3858"/>
    <w:sectPr w:rsidR="006A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89"/>
    <w:rsid w:val="000F14AA"/>
    <w:rsid w:val="00280517"/>
    <w:rsid w:val="00537689"/>
    <w:rsid w:val="006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76EC"/>
  <w15:chartTrackingRefBased/>
  <w15:docId w15:val="{753BB70C-34FF-46D4-A812-8417E4B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6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6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68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68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68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68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68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68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68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7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68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68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68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7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68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768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537689"/>
  </w:style>
  <w:style w:type="character" w:customStyle="1" w:styleId="eop">
    <w:name w:val="eop"/>
    <w:basedOn w:val="DefaultParagraphFont"/>
    <w:rsid w:val="00537689"/>
  </w:style>
  <w:style w:type="character" w:customStyle="1" w:styleId="contentcontrolboundarysink">
    <w:name w:val="contentcontrolboundarysink"/>
    <w:basedOn w:val="DefaultParagraphFont"/>
    <w:rsid w:val="0053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E058B75E7B24B912E4E5E93FD7B4C" ma:contentTypeVersion="13" ma:contentTypeDescription="Create a new document." ma:contentTypeScope="" ma:versionID="4511a798ac3545c89cf0202f9e7a6b01">
  <xsd:schema xmlns:xsd="http://www.w3.org/2001/XMLSchema" xmlns:xs="http://www.w3.org/2001/XMLSchema" xmlns:p="http://schemas.microsoft.com/office/2006/metadata/properties" xmlns:ns2="73ce995d-c7d9-445d-a7a1-10560156a669" xmlns:ns3="3ee06248-86c8-4074-b5e9-f0d329a464e6" targetNamespace="http://schemas.microsoft.com/office/2006/metadata/properties" ma:root="true" ma:fieldsID="5c97d7ea0521f903fe147a5cd15d3e57" ns2:_="" ns3:_="">
    <xsd:import namespace="73ce995d-c7d9-445d-a7a1-10560156a669"/>
    <xsd:import namespace="3ee06248-86c8-4074-b5e9-f0d329a46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995d-c7d9-445d-a7a1-10560156a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06248-86c8-4074-b5e9-f0d329a46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e995d-c7d9-445d-a7a1-10560156a6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200920-035A-4C64-900A-64B37E6B8724}"/>
</file>

<file path=customXml/itemProps2.xml><?xml version="1.0" encoding="utf-8"?>
<ds:datastoreItem xmlns:ds="http://schemas.openxmlformats.org/officeDocument/2006/customXml" ds:itemID="{172522FC-9F42-4EB3-930E-06EFD52C294A}"/>
</file>

<file path=customXml/itemProps3.xml><?xml version="1.0" encoding="utf-8"?>
<ds:datastoreItem xmlns:ds="http://schemas.openxmlformats.org/officeDocument/2006/customXml" ds:itemID="{6B9DB2E7-4206-4B53-8532-CE7FD936D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Wilder</dc:creator>
  <cp:keywords/>
  <dc:description/>
  <cp:lastModifiedBy>K Wilder</cp:lastModifiedBy>
  <cp:revision>1</cp:revision>
  <dcterms:created xsi:type="dcterms:W3CDTF">2024-06-20T12:54:00Z</dcterms:created>
  <dcterms:modified xsi:type="dcterms:W3CDTF">2024-06-20T12:55:00Z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0x01010060AE058B75E7B24B912E4E5E93FD7B4C</vt:lpwstr>
  </property>
</Properties>
</file>