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5B977" w14:textId="77777777" w:rsidR="00AF76C0" w:rsidRDefault="00000000">
      <w:pPr>
        <w:pStyle w:val="Title"/>
      </w:pPr>
      <w:r>
        <w:t>Reproducing analyses from the Cochrane DTA handbook in MetaBayesDTA v1.0</w:t>
      </w:r>
    </w:p>
    <w:p w14:paraId="22B90304" w14:textId="77777777" w:rsidR="00AF76C0" w:rsidRDefault="00000000">
      <w:pPr>
        <w:pStyle w:val="Author"/>
      </w:pPr>
      <w:r>
        <w:t>Tom Morris (</w:t>
      </w:r>
      <w:hyperlink r:id="rId7">
        <w:r>
          <w:rPr>
            <w:rStyle w:val="Hyperlink"/>
          </w:rPr>
          <w:t>tm428@leicester.ac.uk</w:t>
        </w:r>
      </w:hyperlink>
      <w:r>
        <w:t>)</w:t>
      </w:r>
    </w:p>
    <w:p w14:paraId="2EB582CD" w14:textId="77777777" w:rsidR="00AF76C0" w:rsidRDefault="00000000">
      <w:pPr>
        <w:pStyle w:val="Date"/>
      </w:pPr>
      <w:r>
        <w:t>October 2023</w:t>
      </w:r>
    </w:p>
    <w:sdt>
      <w:sdtPr>
        <w:rPr>
          <w:rFonts w:asciiTheme="minorHAnsi" w:eastAsiaTheme="minorHAnsi" w:hAnsiTheme="minorHAnsi" w:cstheme="minorBidi"/>
          <w:color w:val="auto"/>
          <w:sz w:val="24"/>
          <w:szCs w:val="24"/>
        </w:rPr>
        <w:id w:val="-372225498"/>
        <w:docPartObj>
          <w:docPartGallery w:val="Table of Contents"/>
          <w:docPartUnique/>
        </w:docPartObj>
      </w:sdtPr>
      <w:sdtContent>
        <w:p w14:paraId="0467BDDB" w14:textId="77777777" w:rsidR="00AF76C0" w:rsidRDefault="00000000">
          <w:pPr>
            <w:pStyle w:val="TOCHeading"/>
          </w:pPr>
          <w:r>
            <w:t>Table of Contents</w:t>
          </w:r>
        </w:p>
        <w:p w14:paraId="1D4967EC" w14:textId="410850BE" w:rsidR="001E02BC" w:rsidRDefault="00000000">
          <w:pPr>
            <w:pStyle w:val="TOC1"/>
            <w:tabs>
              <w:tab w:val="left" w:pos="480"/>
              <w:tab w:val="right" w:leader="dot" w:pos="9350"/>
            </w:tabs>
            <w:rPr>
              <w:rFonts w:eastAsiaTheme="minorEastAsia"/>
              <w:noProof/>
              <w:kern w:val="2"/>
              <w:lang w:val="en-GB" w:eastAsia="en-GB"/>
              <w14:ligatures w14:val="standardContextual"/>
            </w:rPr>
          </w:pPr>
          <w:r>
            <w:fldChar w:fldCharType="begin"/>
          </w:r>
          <w:r>
            <w:instrText>TOC \o "1-3" \h \z \u</w:instrText>
          </w:r>
          <w:r>
            <w:fldChar w:fldCharType="separate"/>
          </w:r>
          <w:hyperlink w:anchor="_Toc153208210" w:history="1">
            <w:r w:rsidR="001E02BC" w:rsidRPr="00E73D3E">
              <w:rPr>
                <w:rStyle w:val="Hyperlink"/>
                <w:noProof/>
              </w:rPr>
              <w:t>1</w:t>
            </w:r>
            <w:r w:rsidR="001E02BC">
              <w:rPr>
                <w:rFonts w:eastAsiaTheme="minorEastAsia"/>
                <w:noProof/>
                <w:kern w:val="2"/>
                <w:lang w:val="en-GB" w:eastAsia="en-GB"/>
                <w14:ligatures w14:val="standardContextual"/>
              </w:rPr>
              <w:tab/>
            </w:r>
            <w:r w:rsidR="001E02BC" w:rsidRPr="00E73D3E">
              <w:rPr>
                <w:rStyle w:val="Hyperlink"/>
                <w:noProof/>
              </w:rPr>
              <w:t>Introduction</w:t>
            </w:r>
            <w:r w:rsidR="001E02BC">
              <w:rPr>
                <w:noProof/>
                <w:webHidden/>
              </w:rPr>
              <w:tab/>
            </w:r>
            <w:r w:rsidR="001E02BC">
              <w:rPr>
                <w:noProof/>
                <w:webHidden/>
              </w:rPr>
              <w:fldChar w:fldCharType="begin"/>
            </w:r>
            <w:r w:rsidR="001E02BC">
              <w:rPr>
                <w:noProof/>
                <w:webHidden/>
              </w:rPr>
              <w:instrText xml:space="preserve"> PAGEREF _Toc153208210 \h </w:instrText>
            </w:r>
            <w:r w:rsidR="001E02BC">
              <w:rPr>
                <w:noProof/>
                <w:webHidden/>
              </w:rPr>
            </w:r>
            <w:r w:rsidR="001E02BC">
              <w:rPr>
                <w:noProof/>
                <w:webHidden/>
              </w:rPr>
              <w:fldChar w:fldCharType="separate"/>
            </w:r>
            <w:r w:rsidR="001E02BC">
              <w:rPr>
                <w:noProof/>
                <w:webHidden/>
              </w:rPr>
              <w:t>2</w:t>
            </w:r>
            <w:r w:rsidR="001E02BC">
              <w:rPr>
                <w:noProof/>
                <w:webHidden/>
              </w:rPr>
              <w:fldChar w:fldCharType="end"/>
            </w:r>
          </w:hyperlink>
        </w:p>
        <w:p w14:paraId="24249A69" w14:textId="61B24773"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11" w:history="1">
            <w:r w:rsidRPr="00E73D3E">
              <w:rPr>
                <w:rStyle w:val="Hyperlink"/>
                <w:noProof/>
              </w:rPr>
              <w:t>2</w:t>
            </w:r>
            <w:r>
              <w:rPr>
                <w:rFonts w:eastAsiaTheme="minorEastAsia"/>
                <w:noProof/>
                <w:kern w:val="2"/>
                <w:lang w:val="en-GB" w:eastAsia="en-GB"/>
                <w14:ligatures w14:val="standardContextual"/>
              </w:rPr>
              <w:tab/>
            </w:r>
            <w:r w:rsidRPr="00E73D3E">
              <w:rPr>
                <w:rStyle w:val="Hyperlink"/>
                <w:noProof/>
              </w:rPr>
              <w:t>Bivariate Model, 9.4.2 Example 1 continued: anti‐CCP for the diagnosis of rheumatoid arthritis</w:t>
            </w:r>
            <w:r>
              <w:rPr>
                <w:noProof/>
                <w:webHidden/>
              </w:rPr>
              <w:tab/>
            </w:r>
            <w:r>
              <w:rPr>
                <w:noProof/>
                <w:webHidden/>
              </w:rPr>
              <w:fldChar w:fldCharType="begin"/>
            </w:r>
            <w:r>
              <w:rPr>
                <w:noProof/>
                <w:webHidden/>
              </w:rPr>
              <w:instrText xml:space="preserve"> PAGEREF _Toc153208211 \h </w:instrText>
            </w:r>
            <w:r>
              <w:rPr>
                <w:noProof/>
                <w:webHidden/>
              </w:rPr>
            </w:r>
            <w:r>
              <w:rPr>
                <w:noProof/>
                <w:webHidden/>
              </w:rPr>
              <w:fldChar w:fldCharType="separate"/>
            </w:r>
            <w:r>
              <w:rPr>
                <w:noProof/>
                <w:webHidden/>
              </w:rPr>
              <w:t>3</w:t>
            </w:r>
            <w:r>
              <w:rPr>
                <w:noProof/>
                <w:webHidden/>
              </w:rPr>
              <w:fldChar w:fldCharType="end"/>
            </w:r>
          </w:hyperlink>
        </w:p>
        <w:p w14:paraId="2B44612C" w14:textId="5F042619"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12" w:history="1">
            <w:r w:rsidRPr="00E73D3E">
              <w:rPr>
                <w:rStyle w:val="Hyperlink"/>
                <w:noProof/>
              </w:rPr>
              <w:t>2.1</w:t>
            </w:r>
            <w:r>
              <w:rPr>
                <w:rFonts w:eastAsiaTheme="minorEastAsia"/>
                <w:noProof/>
                <w:kern w:val="2"/>
                <w:lang w:val="en-GB" w:eastAsia="en-GB"/>
                <w14:ligatures w14:val="standardContextual"/>
              </w:rPr>
              <w:tab/>
            </w:r>
            <w:r w:rsidRPr="00E73D3E">
              <w:rPr>
                <w:rStyle w:val="Hyperlink"/>
                <w:noProof/>
              </w:rPr>
              <w:t>Format the dataset</w:t>
            </w:r>
            <w:r>
              <w:rPr>
                <w:noProof/>
                <w:webHidden/>
              </w:rPr>
              <w:tab/>
            </w:r>
            <w:r>
              <w:rPr>
                <w:noProof/>
                <w:webHidden/>
              </w:rPr>
              <w:fldChar w:fldCharType="begin"/>
            </w:r>
            <w:r>
              <w:rPr>
                <w:noProof/>
                <w:webHidden/>
              </w:rPr>
              <w:instrText xml:space="preserve"> PAGEREF _Toc153208212 \h </w:instrText>
            </w:r>
            <w:r>
              <w:rPr>
                <w:noProof/>
                <w:webHidden/>
              </w:rPr>
            </w:r>
            <w:r>
              <w:rPr>
                <w:noProof/>
                <w:webHidden/>
              </w:rPr>
              <w:fldChar w:fldCharType="separate"/>
            </w:r>
            <w:r>
              <w:rPr>
                <w:noProof/>
                <w:webHidden/>
              </w:rPr>
              <w:t>3</w:t>
            </w:r>
            <w:r>
              <w:rPr>
                <w:noProof/>
                <w:webHidden/>
              </w:rPr>
              <w:fldChar w:fldCharType="end"/>
            </w:r>
          </w:hyperlink>
        </w:p>
        <w:p w14:paraId="7950A335" w14:textId="1A5A16EC"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13" w:history="1">
            <w:r w:rsidRPr="00E73D3E">
              <w:rPr>
                <w:rStyle w:val="Hyperlink"/>
                <w:noProof/>
              </w:rPr>
              <w:t>2.2</w:t>
            </w:r>
            <w:r>
              <w:rPr>
                <w:rFonts w:eastAsiaTheme="minorEastAsia"/>
                <w:noProof/>
                <w:kern w:val="2"/>
                <w:lang w:val="en-GB" w:eastAsia="en-GB"/>
                <w14:ligatures w14:val="standardContextual"/>
              </w:rPr>
              <w:tab/>
            </w:r>
            <w:r w:rsidRPr="00E73D3E">
              <w:rPr>
                <w:rStyle w:val="Hyperlink"/>
                <w:noProof/>
              </w:rPr>
              <w:t>Load the data</w:t>
            </w:r>
            <w:r>
              <w:rPr>
                <w:noProof/>
                <w:webHidden/>
              </w:rPr>
              <w:tab/>
            </w:r>
            <w:r>
              <w:rPr>
                <w:noProof/>
                <w:webHidden/>
              </w:rPr>
              <w:fldChar w:fldCharType="begin"/>
            </w:r>
            <w:r>
              <w:rPr>
                <w:noProof/>
                <w:webHidden/>
              </w:rPr>
              <w:instrText xml:space="preserve"> PAGEREF _Toc153208213 \h </w:instrText>
            </w:r>
            <w:r>
              <w:rPr>
                <w:noProof/>
                <w:webHidden/>
              </w:rPr>
            </w:r>
            <w:r>
              <w:rPr>
                <w:noProof/>
                <w:webHidden/>
              </w:rPr>
              <w:fldChar w:fldCharType="separate"/>
            </w:r>
            <w:r>
              <w:rPr>
                <w:noProof/>
                <w:webHidden/>
              </w:rPr>
              <w:t>4</w:t>
            </w:r>
            <w:r>
              <w:rPr>
                <w:noProof/>
                <w:webHidden/>
              </w:rPr>
              <w:fldChar w:fldCharType="end"/>
            </w:r>
          </w:hyperlink>
        </w:p>
        <w:p w14:paraId="25921A5F" w14:textId="641E60E6"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14" w:history="1">
            <w:r w:rsidRPr="00E73D3E">
              <w:rPr>
                <w:rStyle w:val="Hyperlink"/>
                <w:noProof/>
              </w:rPr>
              <w:t>2.3</w:t>
            </w:r>
            <w:r>
              <w:rPr>
                <w:rFonts w:eastAsiaTheme="minorEastAsia"/>
                <w:noProof/>
                <w:kern w:val="2"/>
                <w:lang w:val="en-GB" w:eastAsia="en-GB"/>
                <w14:ligatures w14:val="standardContextual"/>
              </w:rPr>
              <w:tab/>
            </w:r>
            <w:r w:rsidRPr="00E73D3E">
              <w:rPr>
                <w:rStyle w:val="Hyperlink"/>
                <w:noProof/>
              </w:rPr>
              <w:t>Analyse the data</w:t>
            </w:r>
            <w:r>
              <w:rPr>
                <w:noProof/>
                <w:webHidden/>
              </w:rPr>
              <w:tab/>
            </w:r>
            <w:r>
              <w:rPr>
                <w:noProof/>
                <w:webHidden/>
              </w:rPr>
              <w:fldChar w:fldCharType="begin"/>
            </w:r>
            <w:r>
              <w:rPr>
                <w:noProof/>
                <w:webHidden/>
              </w:rPr>
              <w:instrText xml:space="preserve"> PAGEREF _Toc153208214 \h </w:instrText>
            </w:r>
            <w:r>
              <w:rPr>
                <w:noProof/>
                <w:webHidden/>
              </w:rPr>
            </w:r>
            <w:r>
              <w:rPr>
                <w:noProof/>
                <w:webHidden/>
              </w:rPr>
              <w:fldChar w:fldCharType="separate"/>
            </w:r>
            <w:r>
              <w:rPr>
                <w:noProof/>
                <w:webHidden/>
              </w:rPr>
              <w:t>5</w:t>
            </w:r>
            <w:r>
              <w:rPr>
                <w:noProof/>
                <w:webHidden/>
              </w:rPr>
              <w:fldChar w:fldCharType="end"/>
            </w:r>
          </w:hyperlink>
        </w:p>
        <w:p w14:paraId="710A7A90" w14:textId="5A6AE057"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15" w:history="1">
            <w:r w:rsidRPr="00E73D3E">
              <w:rPr>
                <w:rStyle w:val="Hyperlink"/>
                <w:noProof/>
              </w:rPr>
              <w:t>2.4</w:t>
            </w:r>
            <w:r>
              <w:rPr>
                <w:rFonts w:eastAsiaTheme="minorEastAsia"/>
                <w:noProof/>
                <w:kern w:val="2"/>
                <w:lang w:val="en-GB" w:eastAsia="en-GB"/>
                <w14:ligatures w14:val="standardContextual"/>
              </w:rPr>
              <w:tab/>
            </w:r>
            <w:r w:rsidRPr="00E73D3E">
              <w:rPr>
                <w:rStyle w:val="Hyperlink"/>
                <w:noProof/>
              </w:rPr>
              <w:t>Estimate the parameters (optional)</w:t>
            </w:r>
            <w:r>
              <w:rPr>
                <w:noProof/>
                <w:webHidden/>
              </w:rPr>
              <w:tab/>
            </w:r>
            <w:r>
              <w:rPr>
                <w:noProof/>
                <w:webHidden/>
              </w:rPr>
              <w:fldChar w:fldCharType="begin"/>
            </w:r>
            <w:r>
              <w:rPr>
                <w:noProof/>
                <w:webHidden/>
              </w:rPr>
              <w:instrText xml:space="preserve"> PAGEREF _Toc153208215 \h </w:instrText>
            </w:r>
            <w:r>
              <w:rPr>
                <w:noProof/>
                <w:webHidden/>
              </w:rPr>
            </w:r>
            <w:r>
              <w:rPr>
                <w:noProof/>
                <w:webHidden/>
              </w:rPr>
              <w:fldChar w:fldCharType="separate"/>
            </w:r>
            <w:r>
              <w:rPr>
                <w:noProof/>
                <w:webHidden/>
              </w:rPr>
              <w:t>9</w:t>
            </w:r>
            <w:r>
              <w:rPr>
                <w:noProof/>
                <w:webHidden/>
              </w:rPr>
              <w:fldChar w:fldCharType="end"/>
            </w:r>
          </w:hyperlink>
        </w:p>
        <w:p w14:paraId="3A0CCE2A" w14:textId="51A79090"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16" w:history="1">
            <w:r w:rsidRPr="00E73D3E">
              <w:rPr>
                <w:rStyle w:val="Hyperlink"/>
                <w:noProof/>
              </w:rPr>
              <w:t>2.4.1</w:t>
            </w:r>
            <w:r>
              <w:rPr>
                <w:rFonts w:eastAsiaTheme="minorEastAsia"/>
                <w:noProof/>
                <w:kern w:val="2"/>
                <w:lang w:val="en-GB" w:eastAsia="en-GB"/>
                <w14:ligatures w14:val="standardContextual"/>
              </w:rPr>
              <w:tab/>
            </w:r>
            <w:r w:rsidRPr="00E73D3E">
              <w:rPr>
                <w:rStyle w:val="Hyperlink"/>
                <w:noProof/>
              </w:rPr>
              <w:t>Mean logit sensitivity (</w:t>
            </w:r>
            <m:oMath>
              <m:r>
                <w:rPr>
                  <w:rStyle w:val="Hyperlink"/>
                  <w:rFonts w:ascii="Cambria Math" w:hAnsi="Cambria Math"/>
                  <w:noProof/>
                </w:rPr>
                <m:t>μA</m:t>
              </m:r>
            </m:oMath>
            <w:r w:rsidRPr="00E73D3E">
              <w:rPr>
                <w:rStyle w:val="Hyperlink"/>
                <w:noProof/>
              </w:rPr>
              <w:t>)</w:t>
            </w:r>
            <w:r>
              <w:rPr>
                <w:noProof/>
                <w:webHidden/>
              </w:rPr>
              <w:tab/>
            </w:r>
            <w:r>
              <w:rPr>
                <w:noProof/>
                <w:webHidden/>
              </w:rPr>
              <w:fldChar w:fldCharType="begin"/>
            </w:r>
            <w:r>
              <w:rPr>
                <w:noProof/>
                <w:webHidden/>
              </w:rPr>
              <w:instrText xml:space="preserve"> PAGEREF _Toc153208216 \h </w:instrText>
            </w:r>
            <w:r>
              <w:rPr>
                <w:noProof/>
                <w:webHidden/>
              </w:rPr>
            </w:r>
            <w:r>
              <w:rPr>
                <w:noProof/>
                <w:webHidden/>
              </w:rPr>
              <w:fldChar w:fldCharType="separate"/>
            </w:r>
            <w:r>
              <w:rPr>
                <w:noProof/>
                <w:webHidden/>
              </w:rPr>
              <w:t>11</w:t>
            </w:r>
            <w:r>
              <w:rPr>
                <w:noProof/>
                <w:webHidden/>
              </w:rPr>
              <w:fldChar w:fldCharType="end"/>
            </w:r>
          </w:hyperlink>
        </w:p>
        <w:p w14:paraId="184DF1A9" w14:textId="3DF4714E"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17" w:history="1">
            <w:r w:rsidRPr="00E73D3E">
              <w:rPr>
                <w:rStyle w:val="Hyperlink"/>
                <w:noProof/>
              </w:rPr>
              <w:t>2.4.2</w:t>
            </w:r>
            <w:r>
              <w:rPr>
                <w:rFonts w:eastAsiaTheme="minorEastAsia"/>
                <w:noProof/>
                <w:kern w:val="2"/>
                <w:lang w:val="en-GB" w:eastAsia="en-GB"/>
                <w14:ligatures w14:val="standardContextual"/>
              </w:rPr>
              <w:tab/>
            </w:r>
            <w:r w:rsidRPr="00E73D3E">
              <w:rPr>
                <w:rStyle w:val="Hyperlink"/>
                <w:noProof/>
              </w:rPr>
              <w:t>Mean logit specificity (</w:t>
            </w:r>
            <m:oMath>
              <m:r>
                <w:rPr>
                  <w:rStyle w:val="Hyperlink"/>
                  <w:rFonts w:ascii="Cambria Math" w:hAnsi="Cambria Math"/>
                  <w:noProof/>
                </w:rPr>
                <m:t>μB</m:t>
              </m:r>
            </m:oMath>
            <w:r w:rsidRPr="00E73D3E">
              <w:rPr>
                <w:rStyle w:val="Hyperlink"/>
                <w:noProof/>
              </w:rPr>
              <w:t>)</w:t>
            </w:r>
            <w:r>
              <w:rPr>
                <w:noProof/>
                <w:webHidden/>
              </w:rPr>
              <w:tab/>
            </w:r>
            <w:r>
              <w:rPr>
                <w:noProof/>
                <w:webHidden/>
              </w:rPr>
              <w:fldChar w:fldCharType="begin"/>
            </w:r>
            <w:r>
              <w:rPr>
                <w:noProof/>
                <w:webHidden/>
              </w:rPr>
              <w:instrText xml:space="preserve"> PAGEREF _Toc153208217 \h </w:instrText>
            </w:r>
            <w:r>
              <w:rPr>
                <w:noProof/>
                <w:webHidden/>
              </w:rPr>
            </w:r>
            <w:r>
              <w:rPr>
                <w:noProof/>
                <w:webHidden/>
              </w:rPr>
              <w:fldChar w:fldCharType="separate"/>
            </w:r>
            <w:r>
              <w:rPr>
                <w:noProof/>
                <w:webHidden/>
              </w:rPr>
              <w:t>11</w:t>
            </w:r>
            <w:r>
              <w:rPr>
                <w:noProof/>
                <w:webHidden/>
              </w:rPr>
              <w:fldChar w:fldCharType="end"/>
            </w:r>
          </w:hyperlink>
        </w:p>
        <w:p w14:paraId="013C900E" w14:textId="076C233B"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18" w:history="1">
            <w:r w:rsidRPr="00E73D3E">
              <w:rPr>
                <w:rStyle w:val="Hyperlink"/>
                <w:noProof/>
              </w:rPr>
              <w:t>2.4.3</w:t>
            </w:r>
            <w:r>
              <w:rPr>
                <w:rFonts w:eastAsiaTheme="minorEastAsia"/>
                <w:noProof/>
                <w:kern w:val="2"/>
                <w:lang w:val="en-GB" w:eastAsia="en-GB"/>
                <w14:ligatures w14:val="standardContextual"/>
              </w:rPr>
              <w:tab/>
            </w:r>
            <w:r w:rsidRPr="00E73D3E">
              <w:rPr>
                <w:rStyle w:val="Hyperlink"/>
                <w:noProof/>
              </w:rPr>
              <w:t>Variance of random effects for logit sensitivity (</w:t>
            </w:r>
            <m:oMath>
              <m:r>
                <w:rPr>
                  <w:rStyle w:val="Hyperlink"/>
                  <w:rFonts w:ascii="Cambria Math" w:hAnsi="Cambria Math"/>
                  <w:noProof/>
                </w:rPr>
                <m:t>σA2</m:t>
              </m:r>
            </m:oMath>
            <w:r w:rsidRPr="00E73D3E">
              <w:rPr>
                <w:rStyle w:val="Hyperlink"/>
                <w:noProof/>
              </w:rPr>
              <w:t>)</w:t>
            </w:r>
            <w:r>
              <w:rPr>
                <w:noProof/>
                <w:webHidden/>
              </w:rPr>
              <w:tab/>
            </w:r>
            <w:r>
              <w:rPr>
                <w:noProof/>
                <w:webHidden/>
              </w:rPr>
              <w:fldChar w:fldCharType="begin"/>
            </w:r>
            <w:r>
              <w:rPr>
                <w:noProof/>
                <w:webHidden/>
              </w:rPr>
              <w:instrText xml:space="preserve"> PAGEREF _Toc153208218 \h </w:instrText>
            </w:r>
            <w:r>
              <w:rPr>
                <w:noProof/>
                <w:webHidden/>
              </w:rPr>
            </w:r>
            <w:r>
              <w:rPr>
                <w:noProof/>
                <w:webHidden/>
              </w:rPr>
              <w:fldChar w:fldCharType="separate"/>
            </w:r>
            <w:r>
              <w:rPr>
                <w:noProof/>
                <w:webHidden/>
              </w:rPr>
              <w:t>11</w:t>
            </w:r>
            <w:r>
              <w:rPr>
                <w:noProof/>
                <w:webHidden/>
              </w:rPr>
              <w:fldChar w:fldCharType="end"/>
            </w:r>
          </w:hyperlink>
        </w:p>
        <w:p w14:paraId="0B6F0A48" w14:textId="6C8BC3D8"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19" w:history="1">
            <w:r w:rsidRPr="00E73D3E">
              <w:rPr>
                <w:rStyle w:val="Hyperlink"/>
                <w:noProof/>
              </w:rPr>
              <w:t>2.4.4</w:t>
            </w:r>
            <w:r>
              <w:rPr>
                <w:rFonts w:eastAsiaTheme="minorEastAsia"/>
                <w:noProof/>
                <w:kern w:val="2"/>
                <w:lang w:val="en-GB" w:eastAsia="en-GB"/>
                <w14:ligatures w14:val="standardContextual"/>
              </w:rPr>
              <w:tab/>
            </w:r>
            <w:r w:rsidRPr="00E73D3E">
              <w:rPr>
                <w:rStyle w:val="Hyperlink"/>
                <w:noProof/>
              </w:rPr>
              <w:t>Variance of random effects for logit specificity (</w:t>
            </w:r>
            <m:oMath>
              <m:r>
                <w:rPr>
                  <w:rStyle w:val="Hyperlink"/>
                  <w:rFonts w:ascii="Cambria Math" w:hAnsi="Cambria Math"/>
                  <w:noProof/>
                </w:rPr>
                <m:t>σB2</m:t>
              </m:r>
            </m:oMath>
            <w:r w:rsidRPr="00E73D3E">
              <w:rPr>
                <w:rStyle w:val="Hyperlink"/>
                <w:noProof/>
              </w:rPr>
              <w:t>)</w:t>
            </w:r>
            <w:r>
              <w:rPr>
                <w:noProof/>
                <w:webHidden/>
              </w:rPr>
              <w:tab/>
            </w:r>
            <w:r>
              <w:rPr>
                <w:noProof/>
                <w:webHidden/>
              </w:rPr>
              <w:fldChar w:fldCharType="begin"/>
            </w:r>
            <w:r>
              <w:rPr>
                <w:noProof/>
                <w:webHidden/>
              </w:rPr>
              <w:instrText xml:space="preserve"> PAGEREF _Toc153208219 \h </w:instrText>
            </w:r>
            <w:r>
              <w:rPr>
                <w:noProof/>
                <w:webHidden/>
              </w:rPr>
            </w:r>
            <w:r>
              <w:rPr>
                <w:noProof/>
                <w:webHidden/>
              </w:rPr>
              <w:fldChar w:fldCharType="separate"/>
            </w:r>
            <w:r>
              <w:rPr>
                <w:noProof/>
                <w:webHidden/>
              </w:rPr>
              <w:t>12</w:t>
            </w:r>
            <w:r>
              <w:rPr>
                <w:noProof/>
                <w:webHidden/>
              </w:rPr>
              <w:fldChar w:fldCharType="end"/>
            </w:r>
          </w:hyperlink>
        </w:p>
        <w:p w14:paraId="3DEA318B" w14:textId="202813CB"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20" w:history="1">
            <w:r w:rsidRPr="00E73D3E">
              <w:rPr>
                <w:rStyle w:val="Hyperlink"/>
                <w:noProof/>
              </w:rPr>
              <w:t>2.4.5</w:t>
            </w:r>
            <w:r>
              <w:rPr>
                <w:rFonts w:eastAsiaTheme="minorEastAsia"/>
                <w:noProof/>
                <w:kern w:val="2"/>
                <w:lang w:val="en-GB" w:eastAsia="en-GB"/>
                <w14:ligatures w14:val="standardContextual"/>
              </w:rPr>
              <w:tab/>
            </w:r>
            <w:r w:rsidRPr="00E73D3E">
              <w:rPr>
                <w:rStyle w:val="Hyperlink"/>
                <w:noProof/>
              </w:rPr>
              <w:t>Correlation of logit sensitivity and logit specificity (</w:t>
            </w:r>
            <m:oMath>
              <m:r>
                <w:rPr>
                  <w:rStyle w:val="Hyperlink"/>
                  <w:rFonts w:ascii="Cambria Math" w:hAnsi="Cambria Math"/>
                  <w:noProof/>
                </w:rPr>
                <m:t>ρ</m:t>
              </m:r>
            </m:oMath>
            <w:r w:rsidRPr="00E73D3E">
              <w:rPr>
                <w:rStyle w:val="Hyperlink"/>
                <w:noProof/>
              </w:rPr>
              <w:t>)</w:t>
            </w:r>
            <w:r>
              <w:rPr>
                <w:noProof/>
                <w:webHidden/>
              </w:rPr>
              <w:tab/>
            </w:r>
            <w:r>
              <w:rPr>
                <w:noProof/>
                <w:webHidden/>
              </w:rPr>
              <w:fldChar w:fldCharType="begin"/>
            </w:r>
            <w:r>
              <w:rPr>
                <w:noProof/>
                <w:webHidden/>
              </w:rPr>
              <w:instrText xml:space="preserve"> PAGEREF _Toc153208220 \h </w:instrText>
            </w:r>
            <w:r>
              <w:rPr>
                <w:noProof/>
                <w:webHidden/>
              </w:rPr>
            </w:r>
            <w:r>
              <w:rPr>
                <w:noProof/>
                <w:webHidden/>
              </w:rPr>
              <w:fldChar w:fldCharType="separate"/>
            </w:r>
            <w:r>
              <w:rPr>
                <w:noProof/>
                <w:webHidden/>
              </w:rPr>
              <w:t>13</w:t>
            </w:r>
            <w:r>
              <w:rPr>
                <w:noProof/>
                <w:webHidden/>
              </w:rPr>
              <w:fldChar w:fldCharType="end"/>
            </w:r>
          </w:hyperlink>
        </w:p>
        <w:p w14:paraId="5C7B681D" w14:textId="40F11299"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21" w:history="1">
            <w:r w:rsidRPr="00E73D3E">
              <w:rPr>
                <w:rStyle w:val="Hyperlink"/>
                <w:noProof/>
              </w:rPr>
              <w:t>3</w:t>
            </w:r>
            <w:r>
              <w:rPr>
                <w:rFonts w:eastAsiaTheme="minorEastAsia"/>
                <w:noProof/>
                <w:kern w:val="2"/>
                <w:lang w:val="en-GB" w:eastAsia="en-GB"/>
                <w14:ligatures w14:val="standardContextual"/>
              </w:rPr>
              <w:tab/>
            </w:r>
            <w:r w:rsidRPr="00E73D3E">
              <w:rPr>
                <w:rStyle w:val="Hyperlink"/>
                <w:noProof/>
              </w:rPr>
              <w:t>Rutter and Gatsonis HSROC model, 9.4.4 Example 2: Rheumatoid factor as a marker for rheumatoid arthritis</w:t>
            </w:r>
            <w:r>
              <w:rPr>
                <w:noProof/>
                <w:webHidden/>
              </w:rPr>
              <w:tab/>
            </w:r>
            <w:r>
              <w:rPr>
                <w:noProof/>
                <w:webHidden/>
              </w:rPr>
              <w:fldChar w:fldCharType="begin"/>
            </w:r>
            <w:r>
              <w:rPr>
                <w:noProof/>
                <w:webHidden/>
              </w:rPr>
              <w:instrText xml:space="preserve"> PAGEREF _Toc153208221 \h </w:instrText>
            </w:r>
            <w:r>
              <w:rPr>
                <w:noProof/>
                <w:webHidden/>
              </w:rPr>
            </w:r>
            <w:r>
              <w:rPr>
                <w:noProof/>
                <w:webHidden/>
              </w:rPr>
              <w:fldChar w:fldCharType="separate"/>
            </w:r>
            <w:r>
              <w:rPr>
                <w:noProof/>
                <w:webHidden/>
              </w:rPr>
              <w:t>13</w:t>
            </w:r>
            <w:r>
              <w:rPr>
                <w:noProof/>
                <w:webHidden/>
              </w:rPr>
              <w:fldChar w:fldCharType="end"/>
            </w:r>
          </w:hyperlink>
        </w:p>
        <w:p w14:paraId="05561521" w14:textId="5C1CDF88"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22" w:history="1">
            <w:r w:rsidRPr="00E73D3E">
              <w:rPr>
                <w:rStyle w:val="Hyperlink"/>
                <w:noProof/>
              </w:rPr>
              <w:t>3.1</w:t>
            </w:r>
            <w:r>
              <w:rPr>
                <w:rFonts w:eastAsiaTheme="minorEastAsia"/>
                <w:noProof/>
                <w:kern w:val="2"/>
                <w:lang w:val="en-GB" w:eastAsia="en-GB"/>
                <w14:ligatures w14:val="standardContextual"/>
              </w:rPr>
              <w:tab/>
            </w:r>
            <w:r w:rsidRPr="00E73D3E">
              <w:rPr>
                <w:rStyle w:val="Hyperlink"/>
                <w:noProof/>
              </w:rPr>
              <w:t>Add the SROC curve</w:t>
            </w:r>
            <w:r>
              <w:rPr>
                <w:noProof/>
                <w:webHidden/>
              </w:rPr>
              <w:tab/>
            </w:r>
            <w:r>
              <w:rPr>
                <w:noProof/>
                <w:webHidden/>
              </w:rPr>
              <w:fldChar w:fldCharType="begin"/>
            </w:r>
            <w:r>
              <w:rPr>
                <w:noProof/>
                <w:webHidden/>
              </w:rPr>
              <w:instrText xml:space="preserve"> PAGEREF _Toc153208222 \h </w:instrText>
            </w:r>
            <w:r>
              <w:rPr>
                <w:noProof/>
                <w:webHidden/>
              </w:rPr>
            </w:r>
            <w:r>
              <w:rPr>
                <w:noProof/>
                <w:webHidden/>
              </w:rPr>
              <w:fldChar w:fldCharType="separate"/>
            </w:r>
            <w:r>
              <w:rPr>
                <w:noProof/>
                <w:webHidden/>
              </w:rPr>
              <w:t>14</w:t>
            </w:r>
            <w:r>
              <w:rPr>
                <w:noProof/>
                <w:webHidden/>
              </w:rPr>
              <w:fldChar w:fldCharType="end"/>
            </w:r>
          </w:hyperlink>
        </w:p>
        <w:p w14:paraId="52753860" w14:textId="04EFEE1E"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23" w:history="1">
            <w:r w:rsidRPr="00E73D3E">
              <w:rPr>
                <w:rStyle w:val="Hyperlink"/>
                <w:noProof/>
              </w:rPr>
              <w:t>3.2</w:t>
            </w:r>
            <w:r>
              <w:rPr>
                <w:rFonts w:eastAsiaTheme="minorEastAsia"/>
                <w:noProof/>
                <w:kern w:val="2"/>
                <w:lang w:val="en-GB" w:eastAsia="en-GB"/>
                <w14:ligatures w14:val="standardContextual"/>
              </w:rPr>
              <w:tab/>
            </w:r>
            <w:r w:rsidRPr="00E73D3E">
              <w:rPr>
                <w:rStyle w:val="Hyperlink"/>
                <w:noProof/>
              </w:rPr>
              <w:t>Estimate the parameters (optional)</w:t>
            </w:r>
            <w:r>
              <w:rPr>
                <w:noProof/>
                <w:webHidden/>
              </w:rPr>
              <w:tab/>
            </w:r>
            <w:r>
              <w:rPr>
                <w:noProof/>
                <w:webHidden/>
              </w:rPr>
              <w:fldChar w:fldCharType="begin"/>
            </w:r>
            <w:r>
              <w:rPr>
                <w:noProof/>
                <w:webHidden/>
              </w:rPr>
              <w:instrText xml:space="preserve"> PAGEREF _Toc153208223 \h </w:instrText>
            </w:r>
            <w:r>
              <w:rPr>
                <w:noProof/>
                <w:webHidden/>
              </w:rPr>
            </w:r>
            <w:r>
              <w:rPr>
                <w:noProof/>
                <w:webHidden/>
              </w:rPr>
              <w:fldChar w:fldCharType="separate"/>
            </w:r>
            <w:r>
              <w:rPr>
                <w:noProof/>
                <w:webHidden/>
              </w:rPr>
              <w:t>16</w:t>
            </w:r>
            <w:r>
              <w:rPr>
                <w:noProof/>
                <w:webHidden/>
              </w:rPr>
              <w:fldChar w:fldCharType="end"/>
            </w:r>
          </w:hyperlink>
        </w:p>
        <w:p w14:paraId="7600AD36" w14:textId="60ECED08"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24" w:history="1">
            <w:r w:rsidRPr="00E73D3E">
              <w:rPr>
                <w:rStyle w:val="Hyperlink"/>
                <w:noProof/>
              </w:rPr>
              <w:t>3.2.1</w:t>
            </w:r>
            <w:r>
              <w:rPr>
                <w:rFonts w:eastAsiaTheme="minorEastAsia"/>
                <w:noProof/>
                <w:kern w:val="2"/>
                <w:lang w:val="en-GB" w:eastAsia="en-GB"/>
                <w14:ligatures w14:val="standardContextual"/>
              </w:rPr>
              <w:tab/>
            </w:r>
            <w:r w:rsidRPr="00E73D3E">
              <w:rPr>
                <w:rStyle w:val="Hyperlink"/>
                <w:noProof/>
              </w:rPr>
              <w:t>Shape of SROC curve (</w:t>
            </w:r>
            <m:oMath>
              <m:r>
                <w:rPr>
                  <w:rStyle w:val="Hyperlink"/>
                  <w:rFonts w:ascii="Cambria Math" w:hAnsi="Cambria Math"/>
                  <w:noProof/>
                </w:rPr>
                <m:t>β</m:t>
              </m:r>
            </m:oMath>
            <w:r w:rsidRPr="00E73D3E">
              <w:rPr>
                <w:rStyle w:val="Hyperlink"/>
                <w:noProof/>
              </w:rPr>
              <w:t>)</w:t>
            </w:r>
            <w:r>
              <w:rPr>
                <w:noProof/>
                <w:webHidden/>
              </w:rPr>
              <w:tab/>
            </w:r>
            <w:r>
              <w:rPr>
                <w:noProof/>
                <w:webHidden/>
              </w:rPr>
              <w:fldChar w:fldCharType="begin"/>
            </w:r>
            <w:r>
              <w:rPr>
                <w:noProof/>
                <w:webHidden/>
              </w:rPr>
              <w:instrText xml:space="preserve"> PAGEREF _Toc153208224 \h </w:instrText>
            </w:r>
            <w:r>
              <w:rPr>
                <w:noProof/>
                <w:webHidden/>
              </w:rPr>
            </w:r>
            <w:r>
              <w:rPr>
                <w:noProof/>
                <w:webHidden/>
              </w:rPr>
              <w:fldChar w:fldCharType="separate"/>
            </w:r>
            <w:r>
              <w:rPr>
                <w:noProof/>
                <w:webHidden/>
              </w:rPr>
              <w:t>17</w:t>
            </w:r>
            <w:r>
              <w:rPr>
                <w:noProof/>
                <w:webHidden/>
              </w:rPr>
              <w:fldChar w:fldCharType="end"/>
            </w:r>
          </w:hyperlink>
        </w:p>
        <w:p w14:paraId="1301F7DE" w14:textId="67B195C7"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25" w:history="1">
            <w:r w:rsidRPr="00E73D3E">
              <w:rPr>
                <w:rStyle w:val="Hyperlink"/>
                <w:noProof/>
              </w:rPr>
              <w:t>4</w:t>
            </w:r>
            <w:r>
              <w:rPr>
                <w:rFonts w:eastAsiaTheme="minorEastAsia"/>
                <w:noProof/>
                <w:kern w:val="2"/>
                <w:lang w:val="en-GB" w:eastAsia="en-GB"/>
                <w14:ligatures w14:val="standardContextual"/>
              </w:rPr>
              <w:tab/>
            </w:r>
            <w:r w:rsidRPr="00E73D3E">
              <w:rPr>
                <w:rStyle w:val="Hyperlink"/>
                <w:noProof/>
              </w:rPr>
              <w:t>Meta-regression in the bivariate model, 9.4.6.3 Example 1 continued: Investigation of heterogeneity in diagnostic performance of anti‐CCP</w:t>
            </w:r>
            <w:r>
              <w:rPr>
                <w:noProof/>
                <w:webHidden/>
              </w:rPr>
              <w:tab/>
            </w:r>
            <w:r>
              <w:rPr>
                <w:noProof/>
                <w:webHidden/>
              </w:rPr>
              <w:fldChar w:fldCharType="begin"/>
            </w:r>
            <w:r>
              <w:rPr>
                <w:noProof/>
                <w:webHidden/>
              </w:rPr>
              <w:instrText xml:space="preserve"> PAGEREF _Toc153208225 \h </w:instrText>
            </w:r>
            <w:r>
              <w:rPr>
                <w:noProof/>
                <w:webHidden/>
              </w:rPr>
            </w:r>
            <w:r>
              <w:rPr>
                <w:noProof/>
                <w:webHidden/>
              </w:rPr>
              <w:fldChar w:fldCharType="separate"/>
            </w:r>
            <w:r>
              <w:rPr>
                <w:noProof/>
                <w:webHidden/>
              </w:rPr>
              <w:t>18</w:t>
            </w:r>
            <w:r>
              <w:rPr>
                <w:noProof/>
                <w:webHidden/>
              </w:rPr>
              <w:fldChar w:fldCharType="end"/>
            </w:r>
          </w:hyperlink>
        </w:p>
        <w:p w14:paraId="4D8EADE1" w14:textId="7D7337A8"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26" w:history="1">
            <w:r w:rsidRPr="00E73D3E">
              <w:rPr>
                <w:rStyle w:val="Hyperlink"/>
                <w:noProof/>
              </w:rPr>
              <w:t>4.1</w:t>
            </w:r>
            <w:r>
              <w:rPr>
                <w:rFonts w:eastAsiaTheme="minorEastAsia"/>
                <w:noProof/>
                <w:kern w:val="2"/>
                <w:lang w:val="en-GB" w:eastAsia="en-GB"/>
                <w14:ligatures w14:val="standardContextual"/>
              </w:rPr>
              <w:tab/>
            </w:r>
            <w:r w:rsidRPr="00E73D3E">
              <w:rPr>
                <w:rStyle w:val="Hyperlink"/>
                <w:noProof/>
              </w:rPr>
              <w:t>Format the dataset</w:t>
            </w:r>
            <w:r>
              <w:rPr>
                <w:noProof/>
                <w:webHidden/>
              </w:rPr>
              <w:tab/>
            </w:r>
            <w:r>
              <w:rPr>
                <w:noProof/>
                <w:webHidden/>
              </w:rPr>
              <w:fldChar w:fldCharType="begin"/>
            </w:r>
            <w:r>
              <w:rPr>
                <w:noProof/>
                <w:webHidden/>
              </w:rPr>
              <w:instrText xml:space="preserve"> PAGEREF _Toc153208226 \h </w:instrText>
            </w:r>
            <w:r>
              <w:rPr>
                <w:noProof/>
                <w:webHidden/>
              </w:rPr>
            </w:r>
            <w:r>
              <w:rPr>
                <w:noProof/>
                <w:webHidden/>
              </w:rPr>
              <w:fldChar w:fldCharType="separate"/>
            </w:r>
            <w:r>
              <w:rPr>
                <w:noProof/>
                <w:webHidden/>
              </w:rPr>
              <w:t>18</w:t>
            </w:r>
            <w:r>
              <w:rPr>
                <w:noProof/>
                <w:webHidden/>
              </w:rPr>
              <w:fldChar w:fldCharType="end"/>
            </w:r>
          </w:hyperlink>
        </w:p>
        <w:p w14:paraId="75B16D59" w14:textId="7178F89D"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27" w:history="1">
            <w:r w:rsidRPr="00E73D3E">
              <w:rPr>
                <w:rStyle w:val="Hyperlink"/>
                <w:noProof/>
              </w:rPr>
              <w:t>4.2</w:t>
            </w:r>
            <w:r>
              <w:rPr>
                <w:rFonts w:eastAsiaTheme="minorEastAsia"/>
                <w:noProof/>
                <w:kern w:val="2"/>
                <w:lang w:val="en-GB" w:eastAsia="en-GB"/>
                <w14:ligatures w14:val="standardContextual"/>
              </w:rPr>
              <w:tab/>
            </w:r>
            <w:r w:rsidRPr="00E73D3E">
              <w:rPr>
                <w:rStyle w:val="Hyperlink"/>
                <w:noProof/>
              </w:rPr>
              <w:t>Analyse the data</w:t>
            </w:r>
            <w:r>
              <w:rPr>
                <w:noProof/>
                <w:webHidden/>
              </w:rPr>
              <w:tab/>
            </w:r>
            <w:r>
              <w:rPr>
                <w:noProof/>
                <w:webHidden/>
              </w:rPr>
              <w:fldChar w:fldCharType="begin"/>
            </w:r>
            <w:r>
              <w:rPr>
                <w:noProof/>
                <w:webHidden/>
              </w:rPr>
              <w:instrText xml:space="preserve"> PAGEREF _Toc153208227 \h </w:instrText>
            </w:r>
            <w:r>
              <w:rPr>
                <w:noProof/>
                <w:webHidden/>
              </w:rPr>
            </w:r>
            <w:r>
              <w:rPr>
                <w:noProof/>
                <w:webHidden/>
              </w:rPr>
              <w:fldChar w:fldCharType="separate"/>
            </w:r>
            <w:r>
              <w:rPr>
                <w:noProof/>
                <w:webHidden/>
              </w:rPr>
              <w:t>18</w:t>
            </w:r>
            <w:r>
              <w:rPr>
                <w:noProof/>
                <w:webHidden/>
              </w:rPr>
              <w:fldChar w:fldCharType="end"/>
            </w:r>
          </w:hyperlink>
        </w:p>
        <w:p w14:paraId="32BCDCA7" w14:textId="4C3CCE1B"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28" w:history="1">
            <w:r w:rsidRPr="00E73D3E">
              <w:rPr>
                <w:rStyle w:val="Hyperlink"/>
                <w:noProof/>
              </w:rPr>
              <w:t>4.3</w:t>
            </w:r>
            <w:r>
              <w:rPr>
                <w:rFonts w:eastAsiaTheme="minorEastAsia"/>
                <w:noProof/>
                <w:kern w:val="2"/>
                <w:lang w:val="en-GB" w:eastAsia="en-GB"/>
                <w14:ligatures w14:val="standardContextual"/>
              </w:rPr>
              <w:tab/>
            </w:r>
            <w:r w:rsidRPr="00E73D3E">
              <w:rPr>
                <w:rStyle w:val="Hyperlink"/>
                <w:noProof/>
              </w:rPr>
              <w:t>Estimate the parameters (optional)</w:t>
            </w:r>
            <w:r>
              <w:rPr>
                <w:noProof/>
                <w:webHidden/>
              </w:rPr>
              <w:tab/>
            </w:r>
            <w:r>
              <w:rPr>
                <w:noProof/>
                <w:webHidden/>
              </w:rPr>
              <w:fldChar w:fldCharType="begin"/>
            </w:r>
            <w:r>
              <w:rPr>
                <w:noProof/>
                <w:webHidden/>
              </w:rPr>
              <w:instrText xml:space="preserve"> PAGEREF _Toc153208228 \h </w:instrText>
            </w:r>
            <w:r>
              <w:rPr>
                <w:noProof/>
                <w:webHidden/>
              </w:rPr>
            </w:r>
            <w:r>
              <w:rPr>
                <w:noProof/>
                <w:webHidden/>
              </w:rPr>
              <w:fldChar w:fldCharType="separate"/>
            </w:r>
            <w:r>
              <w:rPr>
                <w:noProof/>
                <w:webHidden/>
              </w:rPr>
              <w:t>19</w:t>
            </w:r>
            <w:r>
              <w:rPr>
                <w:noProof/>
                <w:webHidden/>
              </w:rPr>
              <w:fldChar w:fldCharType="end"/>
            </w:r>
          </w:hyperlink>
        </w:p>
        <w:p w14:paraId="1269CD1C" w14:textId="52EBF286" w:rsidR="001E02BC" w:rsidRDefault="001E02BC">
          <w:pPr>
            <w:pStyle w:val="TOC3"/>
            <w:tabs>
              <w:tab w:val="left" w:pos="1440"/>
              <w:tab w:val="right" w:leader="dot" w:pos="9350"/>
            </w:tabs>
            <w:rPr>
              <w:rFonts w:eastAsiaTheme="minorEastAsia"/>
              <w:noProof/>
              <w:kern w:val="2"/>
              <w:lang w:val="en-GB" w:eastAsia="en-GB"/>
              <w14:ligatures w14:val="standardContextual"/>
            </w:rPr>
          </w:pPr>
          <w:hyperlink w:anchor="_Toc153208229" w:history="1">
            <w:r w:rsidRPr="00E73D3E">
              <w:rPr>
                <w:rStyle w:val="Hyperlink"/>
                <w:noProof/>
              </w:rPr>
              <w:t>4.3.1</w:t>
            </w:r>
            <w:r>
              <w:rPr>
                <w:rFonts w:eastAsiaTheme="minorEastAsia"/>
                <w:noProof/>
                <w:kern w:val="2"/>
                <w:lang w:val="en-GB" w:eastAsia="en-GB"/>
                <w14:ligatures w14:val="standardContextual"/>
              </w:rPr>
              <w:tab/>
            </w:r>
            <w:r w:rsidRPr="00E73D3E">
              <w:rPr>
                <w:rStyle w:val="Hyperlink"/>
                <w:noProof/>
              </w:rPr>
              <w:t>Logit sensitivity parameters (</w:t>
            </w:r>
            <m:oMath>
              <m:r>
                <w:rPr>
                  <w:rStyle w:val="Hyperlink"/>
                  <w:rFonts w:ascii="Cambria Math" w:hAnsi="Cambria Math"/>
                  <w:noProof/>
                </w:rPr>
                <m:t>μA</m:t>
              </m:r>
            </m:oMath>
            <w:r w:rsidRPr="00E73D3E">
              <w:rPr>
                <w:rStyle w:val="Hyperlink"/>
                <w:noProof/>
              </w:rPr>
              <w:t xml:space="preserve"> and </w:t>
            </w:r>
            <m:oMath>
              <m:r>
                <w:rPr>
                  <w:rStyle w:val="Hyperlink"/>
                  <w:rFonts w:ascii="Cambria Math" w:hAnsi="Cambria Math"/>
                  <w:noProof/>
                </w:rPr>
                <m:t>νA</m:t>
              </m:r>
            </m:oMath>
            <w:r w:rsidRPr="00E73D3E">
              <w:rPr>
                <w:rStyle w:val="Hyperlink"/>
                <w:noProof/>
              </w:rPr>
              <w:t>)</w:t>
            </w:r>
            <w:r>
              <w:rPr>
                <w:noProof/>
                <w:webHidden/>
              </w:rPr>
              <w:tab/>
            </w:r>
            <w:r>
              <w:rPr>
                <w:noProof/>
                <w:webHidden/>
              </w:rPr>
              <w:fldChar w:fldCharType="begin"/>
            </w:r>
            <w:r>
              <w:rPr>
                <w:noProof/>
                <w:webHidden/>
              </w:rPr>
              <w:instrText xml:space="preserve"> PAGEREF _Toc153208229 \h </w:instrText>
            </w:r>
            <w:r>
              <w:rPr>
                <w:noProof/>
                <w:webHidden/>
              </w:rPr>
            </w:r>
            <w:r>
              <w:rPr>
                <w:noProof/>
                <w:webHidden/>
              </w:rPr>
              <w:fldChar w:fldCharType="separate"/>
            </w:r>
            <w:r>
              <w:rPr>
                <w:noProof/>
                <w:webHidden/>
              </w:rPr>
              <w:t>23</w:t>
            </w:r>
            <w:r>
              <w:rPr>
                <w:noProof/>
                <w:webHidden/>
              </w:rPr>
              <w:fldChar w:fldCharType="end"/>
            </w:r>
          </w:hyperlink>
        </w:p>
        <w:p w14:paraId="7FEE67DC" w14:textId="25902CD2"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30" w:history="1">
            <w:r w:rsidRPr="00E73D3E">
              <w:rPr>
                <w:rStyle w:val="Hyperlink"/>
                <w:noProof/>
              </w:rPr>
              <w:t>5</w:t>
            </w:r>
            <w:r>
              <w:rPr>
                <w:rFonts w:eastAsiaTheme="minorEastAsia"/>
                <w:noProof/>
                <w:kern w:val="2"/>
                <w:lang w:val="en-GB" w:eastAsia="en-GB"/>
                <w14:ligatures w14:val="standardContextual"/>
              </w:rPr>
              <w:tab/>
            </w:r>
            <w:r w:rsidRPr="00E73D3E">
              <w:rPr>
                <w:rStyle w:val="Hyperlink"/>
                <w:noProof/>
              </w:rPr>
              <w:t>Meta-regression in the HSROC model, 9.4.6.5 Example 2 continued: Investigating heterogeneity in diagnostic accuracy of rheumatoid factor (RF)</w:t>
            </w:r>
            <w:r>
              <w:rPr>
                <w:noProof/>
                <w:webHidden/>
              </w:rPr>
              <w:tab/>
            </w:r>
            <w:r>
              <w:rPr>
                <w:noProof/>
                <w:webHidden/>
              </w:rPr>
              <w:fldChar w:fldCharType="begin"/>
            </w:r>
            <w:r>
              <w:rPr>
                <w:noProof/>
                <w:webHidden/>
              </w:rPr>
              <w:instrText xml:space="preserve"> PAGEREF _Toc153208230 \h </w:instrText>
            </w:r>
            <w:r>
              <w:rPr>
                <w:noProof/>
                <w:webHidden/>
              </w:rPr>
            </w:r>
            <w:r>
              <w:rPr>
                <w:noProof/>
                <w:webHidden/>
              </w:rPr>
              <w:fldChar w:fldCharType="separate"/>
            </w:r>
            <w:r>
              <w:rPr>
                <w:noProof/>
                <w:webHidden/>
              </w:rPr>
              <w:t>24</w:t>
            </w:r>
            <w:r>
              <w:rPr>
                <w:noProof/>
                <w:webHidden/>
              </w:rPr>
              <w:fldChar w:fldCharType="end"/>
            </w:r>
          </w:hyperlink>
        </w:p>
        <w:p w14:paraId="78136811" w14:textId="4704854F"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1" w:history="1">
            <w:r w:rsidRPr="00E73D3E">
              <w:rPr>
                <w:rStyle w:val="Hyperlink"/>
                <w:noProof/>
              </w:rPr>
              <w:t>5.1</w:t>
            </w:r>
            <w:r>
              <w:rPr>
                <w:rFonts w:eastAsiaTheme="minorEastAsia"/>
                <w:noProof/>
                <w:kern w:val="2"/>
                <w:lang w:val="en-GB" w:eastAsia="en-GB"/>
                <w14:ligatures w14:val="standardContextual"/>
              </w:rPr>
              <w:tab/>
            </w:r>
            <w:r w:rsidRPr="00E73D3E">
              <w:rPr>
                <w:rStyle w:val="Hyperlink"/>
                <w:noProof/>
              </w:rPr>
              <w:t>Format the dataset</w:t>
            </w:r>
            <w:r>
              <w:rPr>
                <w:noProof/>
                <w:webHidden/>
              </w:rPr>
              <w:tab/>
            </w:r>
            <w:r>
              <w:rPr>
                <w:noProof/>
                <w:webHidden/>
              </w:rPr>
              <w:fldChar w:fldCharType="begin"/>
            </w:r>
            <w:r>
              <w:rPr>
                <w:noProof/>
                <w:webHidden/>
              </w:rPr>
              <w:instrText xml:space="preserve"> PAGEREF _Toc153208231 \h </w:instrText>
            </w:r>
            <w:r>
              <w:rPr>
                <w:noProof/>
                <w:webHidden/>
              </w:rPr>
            </w:r>
            <w:r>
              <w:rPr>
                <w:noProof/>
                <w:webHidden/>
              </w:rPr>
              <w:fldChar w:fldCharType="separate"/>
            </w:r>
            <w:r>
              <w:rPr>
                <w:noProof/>
                <w:webHidden/>
              </w:rPr>
              <w:t>24</w:t>
            </w:r>
            <w:r>
              <w:rPr>
                <w:noProof/>
                <w:webHidden/>
              </w:rPr>
              <w:fldChar w:fldCharType="end"/>
            </w:r>
          </w:hyperlink>
        </w:p>
        <w:p w14:paraId="1B8C4BD7" w14:textId="473D68D7"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2" w:history="1">
            <w:r w:rsidRPr="00E73D3E">
              <w:rPr>
                <w:rStyle w:val="Hyperlink"/>
                <w:noProof/>
              </w:rPr>
              <w:t>5.2</w:t>
            </w:r>
            <w:r>
              <w:rPr>
                <w:rFonts w:eastAsiaTheme="minorEastAsia"/>
                <w:noProof/>
                <w:kern w:val="2"/>
                <w:lang w:val="en-GB" w:eastAsia="en-GB"/>
                <w14:ligatures w14:val="standardContextual"/>
              </w:rPr>
              <w:tab/>
            </w:r>
            <w:r w:rsidRPr="00E73D3E">
              <w:rPr>
                <w:rStyle w:val="Hyperlink"/>
                <w:noProof/>
              </w:rPr>
              <w:t>Analyse the data</w:t>
            </w:r>
            <w:r>
              <w:rPr>
                <w:noProof/>
                <w:webHidden/>
              </w:rPr>
              <w:tab/>
            </w:r>
            <w:r>
              <w:rPr>
                <w:noProof/>
                <w:webHidden/>
              </w:rPr>
              <w:fldChar w:fldCharType="begin"/>
            </w:r>
            <w:r>
              <w:rPr>
                <w:noProof/>
                <w:webHidden/>
              </w:rPr>
              <w:instrText xml:space="preserve"> PAGEREF _Toc153208232 \h </w:instrText>
            </w:r>
            <w:r>
              <w:rPr>
                <w:noProof/>
                <w:webHidden/>
              </w:rPr>
            </w:r>
            <w:r>
              <w:rPr>
                <w:noProof/>
                <w:webHidden/>
              </w:rPr>
              <w:fldChar w:fldCharType="separate"/>
            </w:r>
            <w:r>
              <w:rPr>
                <w:noProof/>
                <w:webHidden/>
              </w:rPr>
              <w:t>24</w:t>
            </w:r>
            <w:r>
              <w:rPr>
                <w:noProof/>
                <w:webHidden/>
              </w:rPr>
              <w:fldChar w:fldCharType="end"/>
            </w:r>
          </w:hyperlink>
        </w:p>
        <w:p w14:paraId="70462DBA" w14:textId="48AD47E3"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3" w:history="1">
            <w:r w:rsidRPr="00E73D3E">
              <w:rPr>
                <w:rStyle w:val="Hyperlink"/>
                <w:noProof/>
              </w:rPr>
              <w:t>5.3</w:t>
            </w:r>
            <w:r>
              <w:rPr>
                <w:rFonts w:eastAsiaTheme="minorEastAsia"/>
                <w:noProof/>
                <w:kern w:val="2"/>
                <w:lang w:val="en-GB" w:eastAsia="en-GB"/>
                <w14:ligatures w14:val="standardContextual"/>
              </w:rPr>
              <w:tab/>
            </w:r>
            <w:r w:rsidRPr="00E73D3E">
              <w:rPr>
                <w:rStyle w:val="Hyperlink"/>
                <w:noProof/>
              </w:rPr>
              <w:t>Add the SROC curve</w:t>
            </w:r>
            <w:r>
              <w:rPr>
                <w:noProof/>
                <w:webHidden/>
              </w:rPr>
              <w:tab/>
            </w:r>
            <w:r>
              <w:rPr>
                <w:noProof/>
                <w:webHidden/>
              </w:rPr>
              <w:fldChar w:fldCharType="begin"/>
            </w:r>
            <w:r>
              <w:rPr>
                <w:noProof/>
                <w:webHidden/>
              </w:rPr>
              <w:instrText xml:space="preserve"> PAGEREF _Toc153208233 \h </w:instrText>
            </w:r>
            <w:r>
              <w:rPr>
                <w:noProof/>
                <w:webHidden/>
              </w:rPr>
            </w:r>
            <w:r>
              <w:rPr>
                <w:noProof/>
                <w:webHidden/>
              </w:rPr>
              <w:fldChar w:fldCharType="separate"/>
            </w:r>
            <w:r>
              <w:rPr>
                <w:noProof/>
                <w:webHidden/>
              </w:rPr>
              <w:t>25</w:t>
            </w:r>
            <w:r>
              <w:rPr>
                <w:noProof/>
                <w:webHidden/>
              </w:rPr>
              <w:fldChar w:fldCharType="end"/>
            </w:r>
          </w:hyperlink>
        </w:p>
        <w:p w14:paraId="4F55225E" w14:textId="585FE611"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34" w:history="1">
            <w:r w:rsidRPr="00E73D3E">
              <w:rPr>
                <w:rStyle w:val="Hyperlink"/>
                <w:noProof/>
              </w:rPr>
              <w:t>6</w:t>
            </w:r>
            <w:r>
              <w:rPr>
                <w:rFonts w:eastAsiaTheme="minorEastAsia"/>
                <w:noProof/>
                <w:kern w:val="2"/>
                <w:lang w:val="en-GB" w:eastAsia="en-GB"/>
                <w14:ligatures w14:val="standardContextual"/>
              </w:rPr>
              <w:tab/>
            </w:r>
            <w:r w:rsidRPr="00E73D3E">
              <w:rPr>
                <w:rStyle w:val="Hyperlink"/>
                <w:noProof/>
              </w:rPr>
              <w:t>Comparing index tests in the bivariate model, 9.4.7.3 Example 3: CT versus MRI for the diagnosis of coronary artery disease</w:t>
            </w:r>
            <w:r>
              <w:rPr>
                <w:noProof/>
                <w:webHidden/>
              </w:rPr>
              <w:tab/>
            </w:r>
            <w:r>
              <w:rPr>
                <w:noProof/>
                <w:webHidden/>
              </w:rPr>
              <w:fldChar w:fldCharType="begin"/>
            </w:r>
            <w:r>
              <w:rPr>
                <w:noProof/>
                <w:webHidden/>
              </w:rPr>
              <w:instrText xml:space="preserve"> PAGEREF _Toc153208234 \h </w:instrText>
            </w:r>
            <w:r>
              <w:rPr>
                <w:noProof/>
                <w:webHidden/>
              </w:rPr>
            </w:r>
            <w:r>
              <w:rPr>
                <w:noProof/>
                <w:webHidden/>
              </w:rPr>
              <w:fldChar w:fldCharType="separate"/>
            </w:r>
            <w:r>
              <w:rPr>
                <w:noProof/>
                <w:webHidden/>
              </w:rPr>
              <w:t>26</w:t>
            </w:r>
            <w:r>
              <w:rPr>
                <w:noProof/>
                <w:webHidden/>
              </w:rPr>
              <w:fldChar w:fldCharType="end"/>
            </w:r>
          </w:hyperlink>
        </w:p>
        <w:p w14:paraId="10145C46" w14:textId="7CD7EBBD"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5" w:history="1">
            <w:r w:rsidRPr="00E73D3E">
              <w:rPr>
                <w:rStyle w:val="Hyperlink"/>
                <w:noProof/>
              </w:rPr>
              <w:t>6.1</w:t>
            </w:r>
            <w:r>
              <w:rPr>
                <w:rFonts w:eastAsiaTheme="minorEastAsia"/>
                <w:noProof/>
                <w:kern w:val="2"/>
                <w:lang w:val="en-GB" w:eastAsia="en-GB"/>
                <w14:ligatures w14:val="standardContextual"/>
              </w:rPr>
              <w:tab/>
            </w:r>
            <w:r w:rsidRPr="00E73D3E">
              <w:rPr>
                <w:rStyle w:val="Hyperlink"/>
                <w:noProof/>
              </w:rPr>
              <w:t>Format the dataset</w:t>
            </w:r>
            <w:r>
              <w:rPr>
                <w:noProof/>
                <w:webHidden/>
              </w:rPr>
              <w:tab/>
            </w:r>
            <w:r>
              <w:rPr>
                <w:noProof/>
                <w:webHidden/>
              </w:rPr>
              <w:fldChar w:fldCharType="begin"/>
            </w:r>
            <w:r>
              <w:rPr>
                <w:noProof/>
                <w:webHidden/>
              </w:rPr>
              <w:instrText xml:space="preserve"> PAGEREF _Toc153208235 \h </w:instrText>
            </w:r>
            <w:r>
              <w:rPr>
                <w:noProof/>
                <w:webHidden/>
              </w:rPr>
            </w:r>
            <w:r>
              <w:rPr>
                <w:noProof/>
                <w:webHidden/>
              </w:rPr>
              <w:fldChar w:fldCharType="separate"/>
            </w:r>
            <w:r>
              <w:rPr>
                <w:noProof/>
                <w:webHidden/>
              </w:rPr>
              <w:t>26</w:t>
            </w:r>
            <w:r>
              <w:rPr>
                <w:noProof/>
                <w:webHidden/>
              </w:rPr>
              <w:fldChar w:fldCharType="end"/>
            </w:r>
          </w:hyperlink>
        </w:p>
        <w:p w14:paraId="7824A106" w14:textId="672BD1F0"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6" w:history="1">
            <w:r w:rsidRPr="00E73D3E">
              <w:rPr>
                <w:rStyle w:val="Hyperlink"/>
                <w:noProof/>
              </w:rPr>
              <w:t>6.2</w:t>
            </w:r>
            <w:r>
              <w:rPr>
                <w:rFonts w:eastAsiaTheme="minorEastAsia"/>
                <w:noProof/>
                <w:kern w:val="2"/>
                <w:lang w:val="en-GB" w:eastAsia="en-GB"/>
                <w14:ligatures w14:val="standardContextual"/>
              </w:rPr>
              <w:tab/>
            </w:r>
            <w:r w:rsidRPr="00E73D3E">
              <w:rPr>
                <w:rStyle w:val="Hyperlink"/>
                <w:noProof/>
              </w:rPr>
              <w:t>Analyse the data</w:t>
            </w:r>
            <w:r>
              <w:rPr>
                <w:noProof/>
                <w:webHidden/>
              </w:rPr>
              <w:tab/>
            </w:r>
            <w:r>
              <w:rPr>
                <w:noProof/>
                <w:webHidden/>
              </w:rPr>
              <w:fldChar w:fldCharType="begin"/>
            </w:r>
            <w:r>
              <w:rPr>
                <w:noProof/>
                <w:webHidden/>
              </w:rPr>
              <w:instrText xml:space="preserve"> PAGEREF _Toc153208236 \h </w:instrText>
            </w:r>
            <w:r>
              <w:rPr>
                <w:noProof/>
                <w:webHidden/>
              </w:rPr>
            </w:r>
            <w:r>
              <w:rPr>
                <w:noProof/>
                <w:webHidden/>
              </w:rPr>
              <w:fldChar w:fldCharType="separate"/>
            </w:r>
            <w:r>
              <w:rPr>
                <w:noProof/>
                <w:webHidden/>
              </w:rPr>
              <w:t>26</w:t>
            </w:r>
            <w:r>
              <w:rPr>
                <w:noProof/>
                <w:webHidden/>
              </w:rPr>
              <w:fldChar w:fldCharType="end"/>
            </w:r>
          </w:hyperlink>
        </w:p>
        <w:p w14:paraId="30425AD7" w14:textId="3C94DE7E"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37" w:history="1">
            <w:r w:rsidRPr="00E73D3E">
              <w:rPr>
                <w:rStyle w:val="Hyperlink"/>
                <w:noProof/>
              </w:rPr>
              <w:t>7</w:t>
            </w:r>
            <w:r>
              <w:rPr>
                <w:rFonts w:eastAsiaTheme="minorEastAsia"/>
                <w:noProof/>
                <w:kern w:val="2"/>
                <w:lang w:val="en-GB" w:eastAsia="en-GB"/>
                <w14:ligatures w14:val="standardContextual"/>
              </w:rPr>
              <w:tab/>
            </w:r>
            <w:r w:rsidRPr="00E73D3E">
              <w:rPr>
                <w:rStyle w:val="Hyperlink"/>
                <w:noProof/>
              </w:rPr>
              <w:t>Imperfect reference standard, 10.8 Latent class meta-analysis</w:t>
            </w:r>
            <w:r>
              <w:rPr>
                <w:noProof/>
                <w:webHidden/>
              </w:rPr>
              <w:tab/>
            </w:r>
            <w:r>
              <w:rPr>
                <w:noProof/>
                <w:webHidden/>
              </w:rPr>
              <w:fldChar w:fldCharType="begin"/>
            </w:r>
            <w:r>
              <w:rPr>
                <w:noProof/>
                <w:webHidden/>
              </w:rPr>
              <w:instrText xml:space="preserve"> PAGEREF _Toc153208237 \h </w:instrText>
            </w:r>
            <w:r>
              <w:rPr>
                <w:noProof/>
                <w:webHidden/>
              </w:rPr>
            </w:r>
            <w:r>
              <w:rPr>
                <w:noProof/>
                <w:webHidden/>
              </w:rPr>
              <w:fldChar w:fldCharType="separate"/>
            </w:r>
            <w:r>
              <w:rPr>
                <w:noProof/>
                <w:webHidden/>
              </w:rPr>
              <w:t>27</w:t>
            </w:r>
            <w:r>
              <w:rPr>
                <w:noProof/>
                <w:webHidden/>
              </w:rPr>
              <w:fldChar w:fldCharType="end"/>
            </w:r>
          </w:hyperlink>
        </w:p>
        <w:p w14:paraId="7CA3C717" w14:textId="365564A4"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8" w:history="1">
            <w:r w:rsidRPr="00E73D3E">
              <w:rPr>
                <w:rStyle w:val="Hyperlink"/>
                <w:noProof/>
              </w:rPr>
              <w:t>7.1</w:t>
            </w:r>
            <w:r>
              <w:rPr>
                <w:rFonts w:eastAsiaTheme="minorEastAsia"/>
                <w:noProof/>
                <w:kern w:val="2"/>
                <w:lang w:val="en-GB" w:eastAsia="en-GB"/>
                <w14:ligatures w14:val="standardContextual"/>
              </w:rPr>
              <w:tab/>
            </w:r>
            <w:r w:rsidRPr="00E73D3E">
              <w:rPr>
                <w:rStyle w:val="Hyperlink"/>
                <w:noProof/>
              </w:rPr>
              <w:t>Format the dataset</w:t>
            </w:r>
            <w:r>
              <w:rPr>
                <w:noProof/>
                <w:webHidden/>
              </w:rPr>
              <w:tab/>
            </w:r>
            <w:r>
              <w:rPr>
                <w:noProof/>
                <w:webHidden/>
              </w:rPr>
              <w:fldChar w:fldCharType="begin"/>
            </w:r>
            <w:r>
              <w:rPr>
                <w:noProof/>
                <w:webHidden/>
              </w:rPr>
              <w:instrText xml:space="preserve"> PAGEREF _Toc153208238 \h </w:instrText>
            </w:r>
            <w:r>
              <w:rPr>
                <w:noProof/>
                <w:webHidden/>
              </w:rPr>
            </w:r>
            <w:r>
              <w:rPr>
                <w:noProof/>
                <w:webHidden/>
              </w:rPr>
              <w:fldChar w:fldCharType="separate"/>
            </w:r>
            <w:r>
              <w:rPr>
                <w:noProof/>
                <w:webHidden/>
              </w:rPr>
              <w:t>27</w:t>
            </w:r>
            <w:r>
              <w:rPr>
                <w:noProof/>
                <w:webHidden/>
              </w:rPr>
              <w:fldChar w:fldCharType="end"/>
            </w:r>
          </w:hyperlink>
        </w:p>
        <w:p w14:paraId="3219A728" w14:textId="37CA8856"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39" w:history="1">
            <w:r w:rsidRPr="00E73D3E">
              <w:rPr>
                <w:rStyle w:val="Hyperlink"/>
                <w:noProof/>
              </w:rPr>
              <w:t>7.2</w:t>
            </w:r>
            <w:r>
              <w:rPr>
                <w:rFonts w:eastAsiaTheme="minorEastAsia"/>
                <w:noProof/>
                <w:kern w:val="2"/>
                <w:lang w:val="en-GB" w:eastAsia="en-GB"/>
                <w14:ligatures w14:val="standardContextual"/>
              </w:rPr>
              <w:tab/>
            </w:r>
            <w:r w:rsidRPr="00E73D3E">
              <w:rPr>
                <w:rStyle w:val="Hyperlink"/>
                <w:noProof/>
              </w:rPr>
              <w:t>Analyse the data</w:t>
            </w:r>
            <w:r>
              <w:rPr>
                <w:noProof/>
                <w:webHidden/>
              </w:rPr>
              <w:tab/>
            </w:r>
            <w:r>
              <w:rPr>
                <w:noProof/>
                <w:webHidden/>
              </w:rPr>
              <w:fldChar w:fldCharType="begin"/>
            </w:r>
            <w:r>
              <w:rPr>
                <w:noProof/>
                <w:webHidden/>
              </w:rPr>
              <w:instrText xml:space="preserve"> PAGEREF _Toc153208239 \h </w:instrText>
            </w:r>
            <w:r>
              <w:rPr>
                <w:noProof/>
                <w:webHidden/>
              </w:rPr>
            </w:r>
            <w:r>
              <w:rPr>
                <w:noProof/>
                <w:webHidden/>
              </w:rPr>
              <w:fldChar w:fldCharType="separate"/>
            </w:r>
            <w:r>
              <w:rPr>
                <w:noProof/>
                <w:webHidden/>
              </w:rPr>
              <w:t>29</w:t>
            </w:r>
            <w:r>
              <w:rPr>
                <w:noProof/>
                <w:webHidden/>
              </w:rPr>
              <w:fldChar w:fldCharType="end"/>
            </w:r>
          </w:hyperlink>
        </w:p>
        <w:p w14:paraId="1D2E6F4B" w14:textId="5F8B7392"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40" w:history="1">
            <w:r w:rsidRPr="00E73D3E">
              <w:rPr>
                <w:rStyle w:val="Hyperlink"/>
                <w:noProof/>
              </w:rPr>
              <w:t>7.3</w:t>
            </w:r>
            <w:r>
              <w:rPr>
                <w:rFonts w:eastAsiaTheme="minorEastAsia"/>
                <w:noProof/>
                <w:kern w:val="2"/>
                <w:lang w:val="en-GB" w:eastAsia="en-GB"/>
                <w14:ligatures w14:val="standardContextual"/>
              </w:rPr>
              <w:tab/>
            </w:r>
            <w:r w:rsidRPr="00E73D3E">
              <w:rPr>
                <w:rStyle w:val="Hyperlink"/>
                <w:noProof/>
              </w:rPr>
              <w:t>Parameters (optional)</w:t>
            </w:r>
            <w:r>
              <w:rPr>
                <w:noProof/>
                <w:webHidden/>
              </w:rPr>
              <w:tab/>
            </w:r>
            <w:r>
              <w:rPr>
                <w:noProof/>
                <w:webHidden/>
              </w:rPr>
              <w:fldChar w:fldCharType="begin"/>
            </w:r>
            <w:r>
              <w:rPr>
                <w:noProof/>
                <w:webHidden/>
              </w:rPr>
              <w:instrText xml:space="preserve"> PAGEREF _Toc153208240 \h </w:instrText>
            </w:r>
            <w:r>
              <w:rPr>
                <w:noProof/>
                <w:webHidden/>
              </w:rPr>
            </w:r>
            <w:r>
              <w:rPr>
                <w:noProof/>
                <w:webHidden/>
              </w:rPr>
              <w:fldChar w:fldCharType="separate"/>
            </w:r>
            <w:r>
              <w:rPr>
                <w:noProof/>
                <w:webHidden/>
              </w:rPr>
              <w:t>32</w:t>
            </w:r>
            <w:r>
              <w:rPr>
                <w:noProof/>
                <w:webHidden/>
              </w:rPr>
              <w:fldChar w:fldCharType="end"/>
            </w:r>
          </w:hyperlink>
        </w:p>
        <w:p w14:paraId="197047D8" w14:textId="66894795" w:rsidR="001E02BC" w:rsidRDefault="001E02BC">
          <w:pPr>
            <w:pStyle w:val="TOC1"/>
            <w:tabs>
              <w:tab w:val="left" w:pos="480"/>
              <w:tab w:val="right" w:leader="dot" w:pos="9350"/>
            </w:tabs>
            <w:rPr>
              <w:rFonts w:eastAsiaTheme="minorEastAsia"/>
              <w:noProof/>
              <w:kern w:val="2"/>
              <w:lang w:val="en-GB" w:eastAsia="en-GB"/>
              <w14:ligatures w14:val="standardContextual"/>
            </w:rPr>
          </w:pPr>
          <w:hyperlink w:anchor="_Toc153208241" w:history="1">
            <w:r w:rsidRPr="00E73D3E">
              <w:rPr>
                <w:rStyle w:val="Hyperlink"/>
                <w:noProof/>
              </w:rPr>
              <w:t>8</w:t>
            </w:r>
            <w:r>
              <w:rPr>
                <w:rFonts w:eastAsiaTheme="minorEastAsia"/>
                <w:noProof/>
                <w:kern w:val="2"/>
                <w:lang w:val="en-GB" w:eastAsia="en-GB"/>
                <w14:ligatures w14:val="standardContextual"/>
              </w:rPr>
              <w:tab/>
            </w:r>
            <w:r w:rsidRPr="00E73D3E">
              <w:rPr>
                <w:rStyle w:val="Hyperlink"/>
                <w:noProof/>
              </w:rPr>
              <w:t>Appendix</w:t>
            </w:r>
            <w:r>
              <w:rPr>
                <w:noProof/>
                <w:webHidden/>
              </w:rPr>
              <w:tab/>
            </w:r>
            <w:r>
              <w:rPr>
                <w:noProof/>
                <w:webHidden/>
              </w:rPr>
              <w:fldChar w:fldCharType="begin"/>
            </w:r>
            <w:r>
              <w:rPr>
                <w:noProof/>
                <w:webHidden/>
              </w:rPr>
              <w:instrText xml:space="preserve"> PAGEREF _Toc153208241 \h </w:instrText>
            </w:r>
            <w:r>
              <w:rPr>
                <w:noProof/>
                <w:webHidden/>
              </w:rPr>
            </w:r>
            <w:r>
              <w:rPr>
                <w:noProof/>
                <w:webHidden/>
              </w:rPr>
              <w:fldChar w:fldCharType="separate"/>
            </w:r>
            <w:r>
              <w:rPr>
                <w:noProof/>
                <w:webHidden/>
              </w:rPr>
              <w:t>35</w:t>
            </w:r>
            <w:r>
              <w:rPr>
                <w:noProof/>
                <w:webHidden/>
              </w:rPr>
              <w:fldChar w:fldCharType="end"/>
            </w:r>
          </w:hyperlink>
        </w:p>
        <w:p w14:paraId="0380FAC5" w14:textId="411636CB"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42" w:history="1">
            <w:r w:rsidRPr="00E73D3E">
              <w:rPr>
                <w:rStyle w:val="Hyperlink"/>
                <w:noProof/>
              </w:rPr>
              <w:t>8.1</w:t>
            </w:r>
            <w:r>
              <w:rPr>
                <w:rFonts w:eastAsiaTheme="minorEastAsia"/>
                <w:noProof/>
                <w:kern w:val="2"/>
                <w:lang w:val="en-GB" w:eastAsia="en-GB"/>
                <w14:ligatures w14:val="standardContextual"/>
              </w:rPr>
              <w:tab/>
            </w:r>
            <w:r w:rsidRPr="00E73D3E">
              <w:rPr>
                <w:rStyle w:val="Hyperlink"/>
                <w:noProof/>
              </w:rPr>
              <w:t>Means</w:t>
            </w:r>
            <w:r>
              <w:rPr>
                <w:noProof/>
                <w:webHidden/>
              </w:rPr>
              <w:tab/>
            </w:r>
            <w:r>
              <w:rPr>
                <w:noProof/>
                <w:webHidden/>
              </w:rPr>
              <w:fldChar w:fldCharType="begin"/>
            </w:r>
            <w:r>
              <w:rPr>
                <w:noProof/>
                <w:webHidden/>
              </w:rPr>
              <w:instrText xml:space="preserve"> PAGEREF _Toc153208242 \h </w:instrText>
            </w:r>
            <w:r>
              <w:rPr>
                <w:noProof/>
                <w:webHidden/>
              </w:rPr>
            </w:r>
            <w:r>
              <w:rPr>
                <w:noProof/>
                <w:webHidden/>
              </w:rPr>
              <w:fldChar w:fldCharType="separate"/>
            </w:r>
            <w:r>
              <w:rPr>
                <w:noProof/>
                <w:webHidden/>
              </w:rPr>
              <w:t>35</w:t>
            </w:r>
            <w:r>
              <w:rPr>
                <w:noProof/>
                <w:webHidden/>
              </w:rPr>
              <w:fldChar w:fldCharType="end"/>
            </w:r>
          </w:hyperlink>
        </w:p>
        <w:p w14:paraId="06210E1E" w14:textId="512DFA88"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43" w:history="1">
            <w:r w:rsidRPr="00E73D3E">
              <w:rPr>
                <w:rStyle w:val="Hyperlink"/>
                <w:noProof/>
              </w:rPr>
              <w:t>8.2</w:t>
            </w:r>
            <w:r>
              <w:rPr>
                <w:rFonts w:eastAsiaTheme="minorEastAsia"/>
                <w:noProof/>
                <w:kern w:val="2"/>
                <w:lang w:val="en-GB" w:eastAsia="en-GB"/>
                <w14:ligatures w14:val="standardContextual"/>
              </w:rPr>
              <w:tab/>
            </w:r>
            <w:r w:rsidRPr="00E73D3E">
              <w:rPr>
                <w:rStyle w:val="Hyperlink"/>
                <w:noProof/>
              </w:rPr>
              <w:t>Variances</w:t>
            </w:r>
            <w:r>
              <w:rPr>
                <w:noProof/>
                <w:webHidden/>
              </w:rPr>
              <w:tab/>
            </w:r>
            <w:r>
              <w:rPr>
                <w:noProof/>
                <w:webHidden/>
              </w:rPr>
              <w:fldChar w:fldCharType="begin"/>
            </w:r>
            <w:r>
              <w:rPr>
                <w:noProof/>
                <w:webHidden/>
              </w:rPr>
              <w:instrText xml:space="preserve"> PAGEREF _Toc153208243 \h </w:instrText>
            </w:r>
            <w:r>
              <w:rPr>
                <w:noProof/>
                <w:webHidden/>
              </w:rPr>
            </w:r>
            <w:r>
              <w:rPr>
                <w:noProof/>
                <w:webHidden/>
              </w:rPr>
              <w:fldChar w:fldCharType="separate"/>
            </w:r>
            <w:r>
              <w:rPr>
                <w:noProof/>
                <w:webHidden/>
              </w:rPr>
              <w:t>35</w:t>
            </w:r>
            <w:r>
              <w:rPr>
                <w:noProof/>
                <w:webHidden/>
              </w:rPr>
              <w:fldChar w:fldCharType="end"/>
            </w:r>
          </w:hyperlink>
        </w:p>
        <w:p w14:paraId="3D27515E" w14:textId="1E38E3BE"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44" w:history="1">
            <w:r w:rsidRPr="00E73D3E">
              <w:rPr>
                <w:rStyle w:val="Hyperlink"/>
                <w:noProof/>
              </w:rPr>
              <w:t>8.3</w:t>
            </w:r>
            <w:r>
              <w:rPr>
                <w:rFonts w:eastAsiaTheme="minorEastAsia"/>
                <w:noProof/>
                <w:kern w:val="2"/>
                <w:lang w:val="en-GB" w:eastAsia="en-GB"/>
                <w14:ligatures w14:val="standardContextual"/>
              </w:rPr>
              <w:tab/>
            </w:r>
            <w:r w:rsidRPr="00E73D3E">
              <w:rPr>
                <w:rStyle w:val="Hyperlink"/>
                <w:noProof/>
              </w:rPr>
              <w:t>Correlations</w:t>
            </w:r>
            <w:r>
              <w:rPr>
                <w:noProof/>
                <w:webHidden/>
              </w:rPr>
              <w:tab/>
            </w:r>
            <w:r>
              <w:rPr>
                <w:noProof/>
                <w:webHidden/>
              </w:rPr>
              <w:fldChar w:fldCharType="begin"/>
            </w:r>
            <w:r>
              <w:rPr>
                <w:noProof/>
                <w:webHidden/>
              </w:rPr>
              <w:instrText xml:space="preserve"> PAGEREF _Toc153208244 \h </w:instrText>
            </w:r>
            <w:r>
              <w:rPr>
                <w:noProof/>
                <w:webHidden/>
              </w:rPr>
            </w:r>
            <w:r>
              <w:rPr>
                <w:noProof/>
                <w:webHidden/>
              </w:rPr>
              <w:fldChar w:fldCharType="separate"/>
            </w:r>
            <w:r>
              <w:rPr>
                <w:noProof/>
                <w:webHidden/>
              </w:rPr>
              <w:t>36</w:t>
            </w:r>
            <w:r>
              <w:rPr>
                <w:noProof/>
                <w:webHidden/>
              </w:rPr>
              <w:fldChar w:fldCharType="end"/>
            </w:r>
          </w:hyperlink>
        </w:p>
        <w:p w14:paraId="28694D08" w14:textId="7EB7025F"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45" w:history="1">
            <w:r w:rsidRPr="00E73D3E">
              <w:rPr>
                <w:rStyle w:val="Hyperlink"/>
                <w:noProof/>
              </w:rPr>
              <w:t>8.4</w:t>
            </w:r>
            <w:r>
              <w:rPr>
                <w:rFonts w:eastAsiaTheme="minorEastAsia"/>
                <w:noProof/>
                <w:kern w:val="2"/>
                <w:lang w:val="en-GB" w:eastAsia="en-GB"/>
                <w14:ligatures w14:val="standardContextual"/>
              </w:rPr>
              <w:tab/>
            </w:r>
            <w:r w:rsidRPr="00E73D3E">
              <w:rPr>
                <w:rStyle w:val="Hyperlink"/>
                <w:noProof/>
              </w:rPr>
              <w:t xml:space="preserve">Shape of SROC curve, </w:t>
            </w:r>
            <m:oMath>
              <m:r>
                <w:rPr>
                  <w:rStyle w:val="Hyperlink"/>
                  <w:rFonts w:ascii="Cambria Math" w:hAnsi="Cambria Math"/>
                  <w:noProof/>
                </w:rPr>
                <m:t>β</m:t>
              </m:r>
            </m:oMath>
            <w:r>
              <w:rPr>
                <w:noProof/>
                <w:webHidden/>
              </w:rPr>
              <w:tab/>
            </w:r>
            <w:r>
              <w:rPr>
                <w:noProof/>
                <w:webHidden/>
              </w:rPr>
              <w:fldChar w:fldCharType="begin"/>
            </w:r>
            <w:r>
              <w:rPr>
                <w:noProof/>
                <w:webHidden/>
              </w:rPr>
              <w:instrText xml:space="preserve"> PAGEREF _Toc153208245 \h </w:instrText>
            </w:r>
            <w:r>
              <w:rPr>
                <w:noProof/>
                <w:webHidden/>
              </w:rPr>
            </w:r>
            <w:r>
              <w:rPr>
                <w:noProof/>
                <w:webHidden/>
              </w:rPr>
              <w:fldChar w:fldCharType="separate"/>
            </w:r>
            <w:r>
              <w:rPr>
                <w:noProof/>
                <w:webHidden/>
              </w:rPr>
              <w:t>36</w:t>
            </w:r>
            <w:r>
              <w:rPr>
                <w:noProof/>
                <w:webHidden/>
              </w:rPr>
              <w:fldChar w:fldCharType="end"/>
            </w:r>
          </w:hyperlink>
        </w:p>
        <w:p w14:paraId="6ABCE320" w14:textId="4085EE4E" w:rsidR="001E02BC" w:rsidRDefault="001E02BC">
          <w:pPr>
            <w:pStyle w:val="TOC2"/>
            <w:tabs>
              <w:tab w:val="left" w:pos="960"/>
              <w:tab w:val="right" w:leader="dot" w:pos="9350"/>
            </w:tabs>
            <w:rPr>
              <w:rFonts w:eastAsiaTheme="minorEastAsia"/>
              <w:noProof/>
              <w:kern w:val="2"/>
              <w:lang w:val="en-GB" w:eastAsia="en-GB"/>
              <w14:ligatures w14:val="standardContextual"/>
            </w:rPr>
          </w:pPr>
          <w:hyperlink w:anchor="_Toc153208246" w:history="1">
            <w:r w:rsidRPr="00E73D3E">
              <w:rPr>
                <w:rStyle w:val="Hyperlink"/>
                <w:noProof/>
              </w:rPr>
              <w:t>8.5</w:t>
            </w:r>
            <w:r>
              <w:rPr>
                <w:rFonts w:eastAsiaTheme="minorEastAsia"/>
                <w:noProof/>
                <w:kern w:val="2"/>
                <w:lang w:val="en-GB" w:eastAsia="en-GB"/>
                <w14:ligatures w14:val="standardContextual"/>
              </w:rPr>
              <w:tab/>
            </w:r>
            <w:r w:rsidRPr="00E73D3E">
              <w:rPr>
                <w:rStyle w:val="Hyperlink"/>
                <w:noProof/>
              </w:rPr>
              <w:t>Difference of two means</w:t>
            </w:r>
            <w:r>
              <w:rPr>
                <w:noProof/>
                <w:webHidden/>
              </w:rPr>
              <w:tab/>
            </w:r>
            <w:r>
              <w:rPr>
                <w:noProof/>
                <w:webHidden/>
              </w:rPr>
              <w:fldChar w:fldCharType="begin"/>
            </w:r>
            <w:r>
              <w:rPr>
                <w:noProof/>
                <w:webHidden/>
              </w:rPr>
              <w:instrText xml:space="preserve"> PAGEREF _Toc153208246 \h </w:instrText>
            </w:r>
            <w:r>
              <w:rPr>
                <w:noProof/>
                <w:webHidden/>
              </w:rPr>
            </w:r>
            <w:r>
              <w:rPr>
                <w:noProof/>
                <w:webHidden/>
              </w:rPr>
              <w:fldChar w:fldCharType="separate"/>
            </w:r>
            <w:r>
              <w:rPr>
                <w:noProof/>
                <w:webHidden/>
              </w:rPr>
              <w:t>38</w:t>
            </w:r>
            <w:r>
              <w:rPr>
                <w:noProof/>
                <w:webHidden/>
              </w:rPr>
              <w:fldChar w:fldCharType="end"/>
            </w:r>
          </w:hyperlink>
        </w:p>
        <w:p w14:paraId="1A1FD711" w14:textId="6B623DCE" w:rsidR="00AF76C0" w:rsidRDefault="00000000">
          <w:r>
            <w:fldChar w:fldCharType="end"/>
          </w:r>
        </w:p>
      </w:sdtContent>
    </w:sdt>
    <w:p w14:paraId="528A7121" w14:textId="77777777" w:rsidR="00AF76C0" w:rsidRDefault="00AF76C0">
      <w:pPr>
        <w:pStyle w:val="FirstParagraph"/>
      </w:pPr>
    </w:p>
    <w:p w14:paraId="2422E38B" w14:textId="77777777" w:rsidR="00AF76C0" w:rsidRDefault="00AF76C0">
      <w:pPr>
        <w:pStyle w:val="BodyText"/>
      </w:pPr>
    </w:p>
    <w:p w14:paraId="69801C31" w14:textId="77777777" w:rsidR="00AF76C0" w:rsidRDefault="00000000">
      <w:pPr>
        <w:pStyle w:val="BodyText"/>
      </w:pPr>
      <w:r>
        <w:rPr>
          <w:noProof/>
        </w:rPr>
        <w:drawing>
          <wp:inline distT="0" distB="0" distL="0" distR="0" wp14:anchorId="6F20DB97" wp14:editId="5A953035">
            <wp:extent cx="5334000" cy="73872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3" name="Picture" descr="./Introduction/Logos.png"/>
                    <pic:cNvPicPr>
                      <a:picLocks noChangeAspect="1" noChangeArrowheads="1"/>
                    </pic:cNvPicPr>
                  </pic:nvPicPr>
                  <pic:blipFill>
                    <a:blip r:embed="rId8"/>
                    <a:stretch>
                      <a:fillRect/>
                    </a:stretch>
                  </pic:blipFill>
                  <pic:spPr bwMode="auto">
                    <a:xfrm>
                      <a:off x="0" y="0"/>
                      <a:ext cx="5334000" cy="738728"/>
                    </a:xfrm>
                    <a:prstGeom prst="rect">
                      <a:avLst/>
                    </a:prstGeom>
                    <a:noFill/>
                    <a:ln w="9525">
                      <a:noFill/>
                      <a:headEnd/>
                      <a:tailEnd/>
                    </a:ln>
                  </pic:spPr>
                </pic:pic>
              </a:graphicData>
            </a:graphic>
          </wp:inline>
        </w:drawing>
      </w:r>
    </w:p>
    <w:p w14:paraId="72C675B0" w14:textId="77777777" w:rsidR="00AF76C0" w:rsidRDefault="00000000">
      <w:pPr>
        <w:pStyle w:val="BodyText"/>
      </w:pPr>
      <w:r>
        <w:t xml:space="preserve">For comments or question on </w:t>
      </w:r>
      <w:proofErr w:type="spellStart"/>
      <w:r>
        <w:t>MetaBayesDTA</w:t>
      </w:r>
      <w:proofErr w:type="spellEnd"/>
      <w:r>
        <w:t xml:space="preserve"> please e-mail </w:t>
      </w:r>
      <w:hyperlink r:id="rId9">
        <w:r>
          <w:rPr>
            <w:rStyle w:val="Hyperlink"/>
          </w:rPr>
          <w:t>apps@crsu.org.uk</w:t>
        </w:r>
      </w:hyperlink>
      <w:r>
        <w:t xml:space="preserve">. For comments or question on this document please e-mail </w:t>
      </w:r>
      <w:hyperlink r:id="rId10">
        <w:r>
          <w:rPr>
            <w:rStyle w:val="Hyperlink"/>
          </w:rPr>
          <w:t>tm428@leicester.ac.uk</w:t>
        </w:r>
      </w:hyperlink>
      <w:r>
        <w:t>.</w:t>
      </w:r>
    </w:p>
    <w:p w14:paraId="429DE4BD" w14:textId="77777777" w:rsidR="00AF76C0" w:rsidRDefault="00AF76C0">
      <w:pPr>
        <w:pStyle w:val="BodyText"/>
      </w:pPr>
    </w:p>
    <w:p w14:paraId="3E5CED9E" w14:textId="77777777" w:rsidR="00AF76C0" w:rsidRDefault="00000000">
      <w:pPr>
        <w:pStyle w:val="Heading1"/>
      </w:pPr>
      <w:bookmarkStart w:id="0" w:name="introduction"/>
      <w:bookmarkStart w:id="1" w:name="_Toc153208210"/>
      <w:r>
        <w:rPr>
          <w:rStyle w:val="SectionNumber"/>
        </w:rPr>
        <w:t>1</w:t>
      </w:r>
      <w:r>
        <w:tab/>
        <w:t>Introduction</w:t>
      </w:r>
      <w:bookmarkEnd w:id="1"/>
    </w:p>
    <w:p w14:paraId="0E14A0C4" w14:textId="77777777" w:rsidR="00AF76C0" w:rsidRDefault="00000000">
      <w:pPr>
        <w:pStyle w:val="FirstParagraph"/>
      </w:pPr>
      <w:r>
        <w:t xml:space="preserve">This guide contains step-by-step instructions on how to reproduce the example meta-analyses in the Cochrane Handbook for Systematic Reviews of Diagnostic Test Accuracy Version 2  </w:t>
      </w:r>
      <w:hyperlink r:id="rId11">
        <w:r>
          <w:rPr>
            <w:rStyle w:val="Hyperlink"/>
          </w:rPr>
          <w:t>(https:/training.cochrane.org/handbook-diagnostic-test-accuracy/current)</w:t>
        </w:r>
      </w:hyperlink>
      <w:r>
        <w:t xml:space="preserve">, using the </w:t>
      </w:r>
      <w:proofErr w:type="spellStart"/>
      <w:r>
        <w:t>MetaBayesDTA</w:t>
      </w:r>
      <w:proofErr w:type="spellEnd"/>
      <w:r>
        <w:t xml:space="preserve"> app  </w:t>
      </w:r>
      <w:hyperlink r:id="rId12">
        <w:r>
          <w:rPr>
            <w:rStyle w:val="Hyperlink"/>
          </w:rPr>
          <w:t>(https:/crsu.shinyapps.io/</w:t>
        </w:r>
        <w:proofErr w:type="spellStart"/>
        <w:r>
          <w:rPr>
            <w:rStyle w:val="Hyperlink"/>
          </w:rPr>
          <w:t>MetaBayesDTA</w:t>
        </w:r>
        <w:proofErr w:type="spellEnd"/>
        <w:r>
          <w:rPr>
            <w:rStyle w:val="Hyperlink"/>
          </w:rPr>
          <w:t>/)</w:t>
        </w:r>
      </w:hyperlink>
      <w:r>
        <w:t>. Six of the examples contained in chapters 9 and 10 of the handbook can be carried out in MetaBayesDTA. Before starting, the reader should familiarise themselves with the example(s) they wish to reproduce and download the accompanying datasets.</w:t>
      </w:r>
    </w:p>
    <w:p w14:paraId="486834ED" w14:textId="77777777" w:rsidR="00AF76C0" w:rsidRDefault="00000000">
      <w:pPr>
        <w:pStyle w:val="BodyText"/>
      </w:pPr>
      <w:r>
        <w:lastRenderedPageBreak/>
        <w:t>Sections 2 to 7 each correspond to one of the models in the handbook. Since there are many similarities between them, the guide does not duplicate instructions. For example, the required format of the dataset is the same in each case, and therefore instructions on formatting the datasets are only given for the first model, in section 2. For this reason the reader should not jump straight to the section corresponding to the model they wish to reproduce. They should instead read the sections in order, according to the prerequisite table below.</w:t>
      </w:r>
    </w:p>
    <w:tbl>
      <w:tblPr>
        <w:tblStyle w:val="Table"/>
        <w:tblW w:w="5000" w:type="pct"/>
        <w:tblLook w:val="0020" w:firstRow="1" w:lastRow="0" w:firstColumn="0" w:lastColumn="0" w:noHBand="0" w:noVBand="0"/>
      </w:tblPr>
      <w:tblGrid>
        <w:gridCol w:w="968"/>
        <w:gridCol w:w="6650"/>
        <w:gridCol w:w="1958"/>
      </w:tblGrid>
      <w:tr w:rsidR="00AF76C0" w14:paraId="6D62EDD2"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60C34B00" w14:textId="77777777" w:rsidR="00AF76C0" w:rsidRDefault="00000000">
            <w:pPr>
              <w:pStyle w:val="Compact"/>
            </w:pPr>
            <w:r>
              <w:t>Section</w:t>
            </w:r>
          </w:p>
        </w:tc>
        <w:tc>
          <w:tcPr>
            <w:tcW w:w="0" w:type="auto"/>
          </w:tcPr>
          <w:p w14:paraId="3F213636" w14:textId="77777777" w:rsidR="00AF76C0" w:rsidRDefault="00000000">
            <w:pPr>
              <w:pStyle w:val="Compact"/>
            </w:pPr>
            <w:r>
              <w:t>Model</w:t>
            </w:r>
          </w:p>
        </w:tc>
        <w:tc>
          <w:tcPr>
            <w:tcW w:w="0" w:type="auto"/>
          </w:tcPr>
          <w:p w14:paraId="78298F14" w14:textId="77777777" w:rsidR="00AF76C0" w:rsidRDefault="00000000">
            <w:pPr>
              <w:pStyle w:val="Compact"/>
            </w:pPr>
            <w:r>
              <w:t>Prerequisite sections</w:t>
            </w:r>
          </w:p>
        </w:tc>
      </w:tr>
      <w:tr w:rsidR="00AF76C0" w14:paraId="5F491BE1" w14:textId="77777777">
        <w:tc>
          <w:tcPr>
            <w:tcW w:w="0" w:type="auto"/>
          </w:tcPr>
          <w:p w14:paraId="074A7F5D" w14:textId="77777777" w:rsidR="00AF76C0" w:rsidRDefault="00000000">
            <w:pPr>
              <w:pStyle w:val="Compact"/>
            </w:pPr>
            <w:r>
              <w:t>2</w:t>
            </w:r>
          </w:p>
        </w:tc>
        <w:tc>
          <w:tcPr>
            <w:tcW w:w="0" w:type="auto"/>
          </w:tcPr>
          <w:p w14:paraId="5004BFD1" w14:textId="77777777" w:rsidR="00AF76C0" w:rsidRDefault="00000000">
            <w:pPr>
              <w:pStyle w:val="Compact"/>
            </w:pPr>
            <w:r>
              <w:t>9.4.2 Example 1 continued: anti‐CCP for the diagnosis of rheumatoid arthritis</w:t>
            </w:r>
          </w:p>
        </w:tc>
        <w:tc>
          <w:tcPr>
            <w:tcW w:w="0" w:type="auto"/>
          </w:tcPr>
          <w:p w14:paraId="613F9522" w14:textId="77777777" w:rsidR="00AF76C0" w:rsidRDefault="00000000">
            <w:pPr>
              <w:pStyle w:val="Compact"/>
            </w:pPr>
            <w:r>
              <w:t>None</w:t>
            </w:r>
          </w:p>
        </w:tc>
      </w:tr>
      <w:tr w:rsidR="00AF76C0" w14:paraId="69374781" w14:textId="77777777">
        <w:tc>
          <w:tcPr>
            <w:tcW w:w="0" w:type="auto"/>
          </w:tcPr>
          <w:p w14:paraId="12BF8179" w14:textId="77777777" w:rsidR="00AF76C0" w:rsidRDefault="00000000">
            <w:pPr>
              <w:pStyle w:val="Compact"/>
            </w:pPr>
            <w:r>
              <w:t>3</w:t>
            </w:r>
          </w:p>
        </w:tc>
        <w:tc>
          <w:tcPr>
            <w:tcW w:w="0" w:type="auto"/>
          </w:tcPr>
          <w:p w14:paraId="57D6C6AA" w14:textId="77777777" w:rsidR="00AF76C0" w:rsidRDefault="00000000">
            <w:pPr>
              <w:pStyle w:val="Compact"/>
            </w:pPr>
            <w:r>
              <w:t>Example 2, 9.4.4, Rheumatoid factor as a marker for rheumatoid arthritis</w:t>
            </w:r>
          </w:p>
        </w:tc>
        <w:tc>
          <w:tcPr>
            <w:tcW w:w="0" w:type="auto"/>
          </w:tcPr>
          <w:p w14:paraId="65903B13" w14:textId="77777777" w:rsidR="00AF76C0" w:rsidRDefault="00000000">
            <w:pPr>
              <w:pStyle w:val="Compact"/>
            </w:pPr>
            <w:r>
              <w:t>2</w:t>
            </w:r>
          </w:p>
        </w:tc>
      </w:tr>
      <w:tr w:rsidR="00AF76C0" w14:paraId="28524ECA" w14:textId="77777777">
        <w:tc>
          <w:tcPr>
            <w:tcW w:w="0" w:type="auto"/>
          </w:tcPr>
          <w:p w14:paraId="08BF0685" w14:textId="77777777" w:rsidR="00AF76C0" w:rsidRDefault="00000000">
            <w:pPr>
              <w:pStyle w:val="Compact"/>
            </w:pPr>
            <w:r>
              <w:t>4</w:t>
            </w:r>
          </w:p>
        </w:tc>
        <w:tc>
          <w:tcPr>
            <w:tcW w:w="0" w:type="auto"/>
          </w:tcPr>
          <w:p w14:paraId="2369C9F3" w14:textId="77777777" w:rsidR="00AF76C0" w:rsidRDefault="00000000">
            <w:pPr>
              <w:pStyle w:val="Compact"/>
            </w:pPr>
            <w:r>
              <w:t>9.4.6.3 Example 1 continued: Investigation of heterogeneity in diagnostic performance of anti‐CCP</w:t>
            </w:r>
          </w:p>
        </w:tc>
        <w:tc>
          <w:tcPr>
            <w:tcW w:w="0" w:type="auto"/>
          </w:tcPr>
          <w:p w14:paraId="2C753A82" w14:textId="77777777" w:rsidR="00AF76C0" w:rsidRDefault="00000000">
            <w:pPr>
              <w:pStyle w:val="Compact"/>
            </w:pPr>
            <w:r>
              <w:t>2</w:t>
            </w:r>
          </w:p>
        </w:tc>
      </w:tr>
      <w:tr w:rsidR="00AF76C0" w14:paraId="522496F8" w14:textId="77777777">
        <w:tc>
          <w:tcPr>
            <w:tcW w:w="0" w:type="auto"/>
          </w:tcPr>
          <w:p w14:paraId="78A572BF" w14:textId="77777777" w:rsidR="00AF76C0" w:rsidRDefault="00000000">
            <w:pPr>
              <w:pStyle w:val="Compact"/>
            </w:pPr>
            <w:r>
              <w:t>5</w:t>
            </w:r>
          </w:p>
        </w:tc>
        <w:tc>
          <w:tcPr>
            <w:tcW w:w="0" w:type="auto"/>
          </w:tcPr>
          <w:p w14:paraId="7E3001A5" w14:textId="77777777" w:rsidR="00AF76C0" w:rsidRDefault="00000000">
            <w:pPr>
              <w:pStyle w:val="Compact"/>
            </w:pPr>
            <w:r>
              <w:t>9.4.6.5 Example 2 continued: Investigating heterogeneity in diagnostic accuracy of rheumatoid factor (RF)</w:t>
            </w:r>
          </w:p>
        </w:tc>
        <w:tc>
          <w:tcPr>
            <w:tcW w:w="0" w:type="auto"/>
          </w:tcPr>
          <w:p w14:paraId="12BC0550" w14:textId="77777777" w:rsidR="00AF76C0" w:rsidRDefault="00000000">
            <w:pPr>
              <w:pStyle w:val="Compact"/>
            </w:pPr>
            <w:r>
              <w:t>2, 3 and 4</w:t>
            </w:r>
          </w:p>
        </w:tc>
      </w:tr>
      <w:tr w:rsidR="00AF76C0" w14:paraId="2E3131E5" w14:textId="77777777">
        <w:tc>
          <w:tcPr>
            <w:tcW w:w="0" w:type="auto"/>
          </w:tcPr>
          <w:p w14:paraId="60C077D1" w14:textId="77777777" w:rsidR="00AF76C0" w:rsidRDefault="00000000">
            <w:pPr>
              <w:pStyle w:val="Compact"/>
            </w:pPr>
            <w:r>
              <w:t>6</w:t>
            </w:r>
          </w:p>
        </w:tc>
        <w:tc>
          <w:tcPr>
            <w:tcW w:w="0" w:type="auto"/>
          </w:tcPr>
          <w:p w14:paraId="52C170F4" w14:textId="77777777" w:rsidR="00AF76C0" w:rsidRDefault="00000000">
            <w:pPr>
              <w:pStyle w:val="Compact"/>
            </w:pPr>
            <w:r>
              <w:t>9.4.7.3 Example 3: CT versus MRI for the diagnosis of coronary artery disease</w:t>
            </w:r>
          </w:p>
        </w:tc>
        <w:tc>
          <w:tcPr>
            <w:tcW w:w="0" w:type="auto"/>
          </w:tcPr>
          <w:p w14:paraId="62172D49" w14:textId="77777777" w:rsidR="00AF76C0" w:rsidRDefault="00000000">
            <w:pPr>
              <w:pStyle w:val="Compact"/>
            </w:pPr>
            <w:r>
              <w:t>2 and 4</w:t>
            </w:r>
          </w:p>
        </w:tc>
      </w:tr>
      <w:tr w:rsidR="00AF76C0" w14:paraId="5B0F6664" w14:textId="77777777">
        <w:tc>
          <w:tcPr>
            <w:tcW w:w="0" w:type="auto"/>
          </w:tcPr>
          <w:p w14:paraId="3053F901" w14:textId="77777777" w:rsidR="00AF76C0" w:rsidRDefault="00000000">
            <w:pPr>
              <w:pStyle w:val="Compact"/>
            </w:pPr>
            <w:r>
              <w:t>7</w:t>
            </w:r>
          </w:p>
        </w:tc>
        <w:tc>
          <w:tcPr>
            <w:tcW w:w="0" w:type="auto"/>
          </w:tcPr>
          <w:p w14:paraId="20847AE6" w14:textId="77777777" w:rsidR="00AF76C0" w:rsidRDefault="00000000">
            <w:pPr>
              <w:pStyle w:val="Compact"/>
            </w:pPr>
            <w:r>
              <w:t>10.8 Meta‐analysis with imperfect reference standard: latent class meta‐analysis</w:t>
            </w:r>
          </w:p>
        </w:tc>
        <w:tc>
          <w:tcPr>
            <w:tcW w:w="0" w:type="auto"/>
          </w:tcPr>
          <w:p w14:paraId="156B93BD" w14:textId="77777777" w:rsidR="00AF76C0" w:rsidRDefault="00000000">
            <w:pPr>
              <w:pStyle w:val="Compact"/>
            </w:pPr>
            <w:r>
              <w:t>2</w:t>
            </w:r>
          </w:p>
        </w:tc>
      </w:tr>
    </w:tbl>
    <w:p w14:paraId="78D7F506" w14:textId="77777777" w:rsidR="00AF76C0" w:rsidRDefault="00AF76C0">
      <w:pPr>
        <w:pStyle w:val="BodyText"/>
      </w:pPr>
    </w:p>
    <w:p w14:paraId="0FDFDA33" w14:textId="77777777" w:rsidR="00AF76C0" w:rsidRDefault="00000000">
      <w:pPr>
        <w:pStyle w:val="Heading1"/>
      </w:pPr>
      <w:bookmarkStart w:id="2" w:name="bivariate"/>
      <w:bookmarkStart w:id="3" w:name="_Toc153208211"/>
      <w:bookmarkEnd w:id="0"/>
      <w:r>
        <w:rPr>
          <w:rStyle w:val="SectionNumber"/>
        </w:rPr>
        <w:t>2</w:t>
      </w:r>
      <w:r>
        <w:tab/>
        <w:t>Bivariate Model, 9.4.2 Example 1 continued: anti‐CCP for the diagnosis of rheumatoid arthritis</w:t>
      </w:r>
      <w:bookmarkEnd w:id="3"/>
    </w:p>
    <w:p w14:paraId="19C2831D" w14:textId="77777777" w:rsidR="00AF76C0" w:rsidRDefault="00000000">
      <w:pPr>
        <w:pStyle w:val="Heading2"/>
      </w:pPr>
      <w:bookmarkStart w:id="4" w:name="format-the-dataset"/>
      <w:bookmarkStart w:id="5" w:name="_Toc153208212"/>
      <w:r>
        <w:rPr>
          <w:rStyle w:val="SectionNumber"/>
        </w:rPr>
        <w:t>2.1</w:t>
      </w:r>
      <w:r>
        <w:tab/>
        <w:t>Format the dataset</w:t>
      </w:r>
      <w:bookmarkEnd w:id="5"/>
    </w:p>
    <w:p w14:paraId="562CA5EF" w14:textId="77777777" w:rsidR="00AF76C0" w:rsidRDefault="00000000">
      <w:pPr>
        <w:pStyle w:val="FirstParagraph"/>
      </w:pPr>
      <w:r>
        <w:t xml:space="preserve">The dataset that accompanies the Cochrane handbook is </w:t>
      </w:r>
      <w:r>
        <w:rPr>
          <w:i/>
          <w:iCs/>
        </w:rPr>
        <w:t>anti-cpp.csv</w:t>
      </w:r>
      <w:r>
        <w:t xml:space="preserve">. It must be reformatted before it will be accepted by MetaBayesDTA, by renaming the first six columns to </w:t>
      </w:r>
      <w:r>
        <w:rPr>
          <w:b/>
          <w:bCs/>
        </w:rPr>
        <w:t>author</w:t>
      </w:r>
      <w:r>
        <w:t xml:space="preserve">, </w:t>
      </w:r>
      <w:r>
        <w:rPr>
          <w:b/>
          <w:bCs/>
        </w:rPr>
        <w:t>year</w:t>
      </w:r>
      <w:r>
        <w:t xml:space="preserve">, </w:t>
      </w:r>
      <w:r>
        <w:rPr>
          <w:b/>
          <w:bCs/>
        </w:rPr>
        <w:t>TP</w:t>
      </w:r>
      <w:r>
        <w:t xml:space="preserve">, </w:t>
      </w:r>
      <w:r>
        <w:rPr>
          <w:b/>
          <w:bCs/>
        </w:rPr>
        <w:t>FN</w:t>
      </w:r>
      <w:r>
        <w:t xml:space="preserve">, </w:t>
      </w:r>
      <w:r>
        <w:rPr>
          <w:b/>
          <w:bCs/>
        </w:rPr>
        <w:t>FP</w:t>
      </w:r>
      <w:r>
        <w:t xml:space="preserve">, and </w:t>
      </w:r>
      <w:r>
        <w:rPr>
          <w:b/>
          <w:bCs/>
        </w:rPr>
        <w:t>TN</w:t>
      </w:r>
      <w:r>
        <w:t>. These column names must be exactly as they appear here, and are case-sensitive.</w:t>
      </w:r>
    </w:p>
    <w:p w14:paraId="09E696B9" w14:textId="77777777" w:rsidR="00AF76C0" w:rsidRDefault="00AF76C0">
      <w:pPr>
        <w:pStyle w:val="BodyText"/>
      </w:pPr>
    </w:p>
    <w:p w14:paraId="6E30E2F6" w14:textId="77777777" w:rsidR="00AF76C0" w:rsidRDefault="00000000">
      <w:pPr>
        <w:pStyle w:val="BodyText"/>
      </w:pPr>
      <w:r>
        <w:rPr>
          <w:noProof/>
        </w:rPr>
        <w:lastRenderedPageBreak/>
        <w:drawing>
          <wp:inline distT="0" distB="0" distL="0" distR="0" wp14:anchorId="286740F0" wp14:editId="1C330F4E">
            <wp:extent cx="4267200" cy="2654982"/>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Cochrane_DTA_9.4.2_example_1/Pictures/Dataset.png"/>
                    <pic:cNvPicPr>
                      <a:picLocks noChangeAspect="1" noChangeArrowheads="1"/>
                    </pic:cNvPicPr>
                  </pic:nvPicPr>
                  <pic:blipFill>
                    <a:blip r:embed="rId13"/>
                    <a:stretch>
                      <a:fillRect/>
                    </a:stretch>
                  </pic:blipFill>
                  <pic:spPr bwMode="auto">
                    <a:xfrm>
                      <a:off x="0" y="0"/>
                      <a:ext cx="4267200" cy="2654982"/>
                    </a:xfrm>
                    <a:prstGeom prst="rect">
                      <a:avLst/>
                    </a:prstGeom>
                    <a:noFill/>
                    <a:ln w="9525">
                      <a:noFill/>
                      <a:headEnd/>
                      <a:tailEnd/>
                    </a:ln>
                  </pic:spPr>
                </pic:pic>
              </a:graphicData>
            </a:graphic>
          </wp:inline>
        </w:drawing>
      </w:r>
    </w:p>
    <w:p w14:paraId="647FFA91" w14:textId="77777777" w:rsidR="00AF76C0" w:rsidRDefault="00AF76C0">
      <w:pPr>
        <w:pStyle w:val="BodyText"/>
      </w:pPr>
    </w:p>
    <w:p w14:paraId="1CBC689E" w14:textId="77777777" w:rsidR="00AF76C0" w:rsidRDefault="00000000">
      <w:pPr>
        <w:pStyle w:val="Heading2"/>
      </w:pPr>
      <w:bookmarkStart w:id="6" w:name="load-the-data"/>
      <w:bookmarkStart w:id="7" w:name="_Toc153208213"/>
      <w:bookmarkEnd w:id="4"/>
      <w:r>
        <w:rPr>
          <w:rStyle w:val="SectionNumber"/>
        </w:rPr>
        <w:t>2.2</w:t>
      </w:r>
      <w:r>
        <w:tab/>
        <w:t>Load the data</w:t>
      </w:r>
      <w:bookmarkEnd w:id="7"/>
    </w:p>
    <w:p w14:paraId="03062402" w14:textId="77777777" w:rsidR="00AF76C0" w:rsidRDefault="00000000">
      <w:pPr>
        <w:pStyle w:val="FirstParagraph"/>
      </w:pPr>
      <w:r>
        <w:rPr>
          <w:noProof/>
        </w:rPr>
        <w:drawing>
          <wp:inline distT="0" distB="0" distL="0" distR="0" wp14:anchorId="6DDEEE30" wp14:editId="1C6492E3">
            <wp:extent cx="4800600" cy="1902124"/>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Cochrane_DTA_9.4.2_example_1/Pictures/Load_data_1.png"/>
                    <pic:cNvPicPr>
                      <a:picLocks noChangeAspect="1" noChangeArrowheads="1"/>
                    </pic:cNvPicPr>
                  </pic:nvPicPr>
                  <pic:blipFill>
                    <a:blip r:embed="rId14"/>
                    <a:stretch>
                      <a:fillRect/>
                    </a:stretch>
                  </pic:blipFill>
                  <pic:spPr bwMode="auto">
                    <a:xfrm>
                      <a:off x="0" y="0"/>
                      <a:ext cx="4800600" cy="1902124"/>
                    </a:xfrm>
                    <a:prstGeom prst="rect">
                      <a:avLst/>
                    </a:prstGeom>
                    <a:noFill/>
                    <a:ln w="9525">
                      <a:noFill/>
                      <a:headEnd/>
                      <a:tailEnd/>
                    </a:ln>
                  </pic:spPr>
                </pic:pic>
              </a:graphicData>
            </a:graphic>
          </wp:inline>
        </w:drawing>
      </w:r>
    </w:p>
    <w:p w14:paraId="1DA01375" w14:textId="77777777" w:rsidR="00AF76C0" w:rsidRDefault="00000000">
      <w:pPr>
        <w:pStyle w:val="BodyText"/>
      </w:pPr>
      <w:r>
        <w:rPr>
          <w:noProof/>
        </w:rPr>
        <w:drawing>
          <wp:inline distT="0" distB="0" distL="0" distR="0" wp14:anchorId="5963D412" wp14:editId="65CBACEC">
            <wp:extent cx="4800600" cy="207749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7" name="Picture" descr="./Cochrane_DTA_9.4.2_example_1/Pictures/Load_data_2.png"/>
                    <pic:cNvPicPr>
                      <a:picLocks noChangeAspect="1" noChangeArrowheads="1"/>
                    </pic:cNvPicPr>
                  </pic:nvPicPr>
                  <pic:blipFill>
                    <a:blip r:embed="rId15"/>
                    <a:stretch>
                      <a:fillRect/>
                    </a:stretch>
                  </pic:blipFill>
                  <pic:spPr bwMode="auto">
                    <a:xfrm>
                      <a:off x="0" y="0"/>
                      <a:ext cx="4800600" cy="2077490"/>
                    </a:xfrm>
                    <a:prstGeom prst="rect">
                      <a:avLst/>
                    </a:prstGeom>
                    <a:noFill/>
                    <a:ln w="9525">
                      <a:noFill/>
                      <a:headEnd/>
                      <a:tailEnd/>
                    </a:ln>
                  </pic:spPr>
                </pic:pic>
              </a:graphicData>
            </a:graphic>
          </wp:inline>
        </w:drawing>
      </w:r>
    </w:p>
    <w:p w14:paraId="211721DC" w14:textId="77777777" w:rsidR="00AF76C0" w:rsidRDefault="00AF76C0">
      <w:pPr>
        <w:pStyle w:val="BodyText"/>
      </w:pPr>
    </w:p>
    <w:p w14:paraId="0F7AC1CD" w14:textId="77777777" w:rsidR="00AF76C0" w:rsidRDefault="00000000">
      <w:pPr>
        <w:pStyle w:val="Heading2"/>
      </w:pPr>
      <w:bookmarkStart w:id="8" w:name="analyse-the-data"/>
      <w:bookmarkStart w:id="9" w:name="_Toc153208214"/>
      <w:bookmarkEnd w:id="6"/>
      <w:r>
        <w:rPr>
          <w:rStyle w:val="SectionNumber"/>
        </w:rPr>
        <w:lastRenderedPageBreak/>
        <w:t>2.3</w:t>
      </w:r>
      <w:r>
        <w:tab/>
        <w:t>Analyse the data</w:t>
      </w:r>
      <w:bookmarkEnd w:id="9"/>
    </w:p>
    <w:p w14:paraId="736996E2" w14:textId="77777777" w:rsidR="00AF76C0" w:rsidRDefault="00000000">
      <w:pPr>
        <w:pStyle w:val="FirstParagraph"/>
      </w:pPr>
      <w:r>
        <w:rPr>
          <w:noProof/>
        </w:rPr>
        <w:drawing>
          <wp:inline distT="0" distB="0" distL="0" distR="0" wp14:anchorId="51B5D9A3" wp14:editId="486B1E60">
            <wp:extent cx="4800600" cy="2326592"/>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Cochrane_DTA_9.4.2_example_1/Pictures/Analysis_1.png"/>
                    <pic:cNvPicPr>
                      <a:picLocks noChangeAspect="1" noChangeArrowheads="1"/>
                    </pic:cNvPicPr>
                  </pic:nvPicPr>
                  <pic:blipFill>
                    <a:blip r:embed="rId16"/>
                    <a:stretch>
                      <a:fillRect/>
                    </a:stretch>
                  </pic:blipFill>
                  <pic:spPr bwMode="auto">
                    <a:xfrm>
                      <a:off x="0" y="0"/>
                      <a:ext cx="4800600" cy="2326592"/>
                    </a:xfrm>
                    <a:prstGeom prst="rect">
                      <a:avLst/>
                    </a:prstGeom>
                    <a:noFill/>
                    <a:ln w="9525">
                      <a:noFill/>
                      <a:headEnd/>
                      <a:tailEnd/>
                    </a:ln>
                  </pic:spPr>
                </pic:pic>
              </a:graphicData>
            </a:graphic>
          </wp:inline>
        </w:drawing>
      </w:r>
    </w:p>
    <w:p w14:paraId="34CE4BE5" w14:textId="77777777" w:rsidR="00AF76C0" w:rsidRDefault="00AF76C0">
      <w:pPr>
        <w:pStyle w:val="BodyText"/>
      </w:pPr>
    </w:p>
    <w:p w14:paraId="69426A54" w14:textId="77777777" w:rsidR="00AF76C0" w:rsidRDefault="00000000">
      <w:pPr>
        <w:pStyle w:val="BodyText"/>
      </w:pPr>
      <w:r>
        <w:t xml:space="preserve">The two drop-down menus contain Stan sampling options and prior distributions. They can both be left at their default values. Run sampling from the prior distributions by clicking </w:t>
      </w:r>
      <w:r>
        <w:rPr>
          <w:b/>
          <w:bCs/>
        </w:rPr>
        <w:t>Click to run prior model</w:t>
      </w:r>
      <w:r>
        <w:t>.</w:t>
      </w:r>
    </w:p>
    <w:p w14:paraId="33F60610" w14:textId="77777777" w:rsidR="00AF76C0" w:rsidRDefault="00AF76C0">
      <w:pPr>
        <w:pStyle w:val="BodyText"/>
      </w:pPr>
    </w:p>
    <w:p w14:paraId="00535CB9" w14:textId="77777777" w:rsidR="00AF76C0" w:rsidRDefault="00000000">
      <w:pPr>
        <w:pStyle w:val="BodyText"/>
      </w:pPr>
      <w:r>
        <w:rPr>
          <w:noProof/>
        </w:rPr>
        <w:drawing>
          <wp:inline distT="0" distB="0" distL="0" distR="0" wp14:anchorId="507932BF" wp14:editId="549CBC7A">
            <wp:extent cx="4800600" cy="231506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Cochrane_DTA_9.4.2_example_1/Pictures/Analysis_2.png"/>
                    <pic:cNvPicPr>
                      <a:picLocks noChangeAspect="1" noChangeArrowheads="1"/>
                    </pic:cNvPicPr>
                  </pic:nvPicPr>
                  <pic:blipFill>
                    <a:blip r:embed="rId17"/>
                    <a:stretch>
                      <a:fillRect/>
                    </a:stretch>
                  </pic:blipFill>
                  <pic:spPr bwMode="auto">
                    <a:xfrm>
                      <a:off x="0" y="0"/>
                      <a:ext cx="4800600" cy="2315065"/>
                    </a:xfrm>
                    <a:prstGeom prst="rect">
                      <a:avLst/>
                    </a:prstGeom>
                    <a:noFill/>
                    <a:ln w="9525">
                      <a:noFill/>
                      <a:headEnd/>
                      <a:tailEnd/>
                    </a:ln>
                  </pic:spPr>
                </pic:pic>
              </a:graphicData>
            </a:graphic>
          </wp:inline>
        </w:drawing>
      </w:r>
    </w:p>
    <w:p w14:paraId="1918CE92" w14:textId="77777777" w:rsidR="00AF76C0" w:rsidRDefault="00AF76C0">
      <w:pPr>
        <w:pStyle w:val="BodyText"/>
      </w:pPr>
    </w:p>
    <w:p w14:paraId="67B974B4" w14:textId="77777777" w:rsidR="00AF76C0" w:rsidRDefault="00000000">
      <w:pPr>
        <w:pStyle w:val="BodyText"/>
      </w:pPr>
      <w:r>
        <w:t xml:space="preserve">A text box will appear. Scroll down and click </w:t>
      </w:r>
      <w:r>
        <w:rPr>
          <w:b/>
          <w:bCs/>
        </w:rPr>
        <w:t>OK</w:t>
      </w:r>
      <w:r>
        <w:t>.</w:t>
      </w:r>
    </w:p>
    <w:p w14:paraId="50BF1867" w14:textId="77777777" w:rsidR="00AF76C0" w:rsidRDefault="00AF76C0">
      <w:pPr>
        <w:pStyle w:val="BodyText"/>
      </w:pPr>
    </w:p>
    <w:p w14:paraId="4E1812DD" w14:textId="77777777" w:rsidR="00AF76C0" w:rsidRDefault="00000000">
      <w:pPr>
        <w:pStyle w:val="BodyText"/>
      </w:pPr>
      <w:r>
        <w:rPr>
          <w:noProof/>
        </w:rPr>
        <w:lastRenderedPageBreak/>
        <w:drawing>
          <wp:inline distT="0" distB="0" distL="0" distR="0" wp14:anchorId="1BF76E29" wp14:editId="7E49EC90">
            <wp:extent cx="4800600" cy="1296604"/>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Cochrane_DTA_9.4.2_example_1/Pictures/Analysis_3.png"/>
                    <pic:cNvPicPr>
                      <a:picLocks noChangeAspect="1" noChangeArrowheads="1"/>
                    </pic:cNvPicPr>
                  </pic:nvPicPr>
                  <pic:blipFill>
                    <a:blip r:embed="rId18"/>
                    <a:stretch>
                      <a:fillRect/>
                    </a:stretch>
                  </pic:blipFill>
                  <pic:spPr bwMode="auto">
                    <a:xfrm>
                      <a:off x="0" y="0"/>
                      <a:ext cx="4800600" cy="1296604"/>
                    </a:xfrm>
                    <a:prstGeom prst="rect">
                      <a:avLst/>
                    </a:prstGeom>
                    <a:noFill/>
                    <a:ln w="9525">
                      <a:noFill/>
                      <a:headEnd/>
                      <a:tailEnd/>
                    </a:ln>
                  </pic:spPr>
                </pic:pic>
              </a:graphicData>
            </a:graphic>
          </wp:inline>
        </w:drawing>
      </w:r>
    </w:p>
    <w:p w14:paraId="0C989443" w14:textId="77777777" w:rsidR="00AF76C0" w:rsidRDefault="00AF76C0">
      <w:pPr>
        <w:pStyle w:val="BodyText"/>
      </w:pPr>
    </w:p>
    <w:p w14:paraId="547C7800" w14:textId="77777777" w:rsidR="00AF76C0" w:rsidRDefault="00000000">
      <w:pPr>
        <w:pStyle w:val="BodyText"/>
      </w:pPr>
      <w:r>
        <w:t>When the sampling has finished, details of the prior distributions will appear in a table and several plots.</w:t>
      </w:r>
    </w:p>
    <w:p w14:paraId="4614718A" w14:textId="77777777" w:rsidR="00AF76C0" w:rsidRDefault="00AF76C0">
      <w:pPr>
        <w:pStyle w:val="BodyText"/>
      </w:pPr>
    </w:p>
    <w:p w14:paraId="1954974C" w14:textId="77777777" w:rsidR="00AF76C0" w:rsidRDefault="00000000">
      <w:pPr>
        <w:pStyle w:val="BodyText"/>
      </w:pPr>
      <w:r>
        <w:rPr>
          <w:noProof/>
        </w:rPr>
        <w:drawing>
          <wp:inline distT="0" distB="0" distL="0" distR="0" wp14:anchorId="75055010" wp14:editId="67DD6A79">
            <wp:extent cx="4800600" cy="426488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Cochrane_DTA_9.4.2_example_1/Pictures/Analysis_4.png"/>
                    <pic:cNvPicPr>
                      <a:picLocks noChangeAspect="1" noChangeArrowheads="1"/>
                    </pic:cNvPicPr>
                  </pic:nvPicPr>
                  <pic:blipFill>
                    <a:blip r:embed="rId19"/>
                    <a:stretch>
                      <a:fillRect/>
                    </a:stretch>
                  </pic:blipFill>
                  <pic:spPr bwMode="auto">
                    <a:xfrm>
                      <a:off x="0" y="0"/>
                      <a:ext cx="4800600" cy="4264880"/>
                    </a:xfrm>
                    <a:prstGeom prst="rect">
                      <a:avLst/>
                    </a:prstGeom>
                    <a:noFill/>
                    <a:ln w="9525">
                      <a:noFill/>
                      <a:headEnd/>
                      <a:tailEnd/>
                    </a:ln>
                  </pic:spPr>
                </pic:pic>
              </a:graphicData>
            </a:graphic>
          </wp:inline>
        </w:drawing>
      </w:r>
    </w:p>
    <w:p w14:paraId="5D3D021E" w14:textId="77777777" w:rsidR="00AF76C0" w:rsidRDefault="00AF76C0">
      <w:pPr>
        <w:pStyle w:val="BodyText"/>
      </w:pPr>
    </w:p>
    <w:p w14:paraId="08872BFE" w14:textId="77777777" w:rsidR="00AF76C0" w:rsidRDefault="00000000">
      <w:pPr>
        <w:pStyle w:val="BodyText"/>
      </w:pPr>
      <w:r>
        <w:t xml:space="preserve">Navigate to the </w:t>
      </w:r>
      <w:r>
        <w:rPr>
          <w:b/>
          <w:bCs/>
        </w:rPr>
        <w:t>Run model</w:t>
      </w:r>
      <w:r>
        <w:t xml:space="preserve"> tab.</w:t>
      </w:r>
    </w:p>
    <w:p w14:paraId="44AF62C0" w14:textId="77777777" w:rsidR="00AF76C0" w:rsidRDefault="00AF76C0">
      <w:pPr>
        <w:pStyle w:val="BodyText"/>
      </w:pPr>
    </w:p>
    <w:p w14:paraId="176C316D" w14:textId="77777777" w:rsidR="00AF76C0" w:rsidRDefault="00000000">
      <w:pPr>
        <w:pStyle w:val="BodyText"/>
      </w:pPr>
      <w:r>
        <w:rPr>
          <w:noProof/>
        </w:rPr>
        <w:lastRenderedPageBreak/>
        <w:drawing>
          <wp:inline distT="0" distB="0" distL="0" distR="0" wp14:anchorId="344A9D1E" wp14:editId="2D7A56B9">
            <wp:extent cx="4800600" cy="178166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Cochrane_DTA_9.4.2_example_1/Pictures/Analysis_5.png"/>
                    <pic:cNvPicPr>
                      <a:picLocks noChangeAspect="1" noChangeArrowheads="1"/>
                    </pic:cNvPicPr>
                  </pic:nvPicPr>
                  <pic:blipFill>
                    <a:blip r:embed="rId20"/>
                    <a:stretch>
                      <a:fillRect/>
                    </a:stretch>
                  </pic:blipFill>
                  <pic:spPr bwMode="auto">
                    <a:xfrm>
                      <a:off x="0" y="0"/>
                      <a:ext cx="4800600" cy="1781665"/>
                    </a:xfrm>
                    <a:prstGeom prst="rect">
                      <a:avLst/>
                    </a:prstGeom>
                    <a:noFill/>
                    <a:ln w="9525">
                      <a:noFill/>
                      <a:headEnd/>
                      <a:tailEnd/>
                    </a:ln>
                  </pic:spPr>
                </pic:pic>
              </a:graphicData>
            </a:graphic>
          </wp:inline>
        </w:drawing>
      </w:r>
    </w:p>
    <w:p w14:paraId="2CB0D5A0" w14:textId="77777777" w:rsidR="00AF76C0" w:rsidRDefault="00AF76C0">
      <w:pPr>
        <w:pStyle w:val="BodyText"/>
      </w:pPr>
    </w:p>
    <w:p w14:paraId="1700295A" w14:textId="77777777" w:rsidR="00AF76C0" w:rsidRDefault="00000000">
      <w:pPr>
        <w:pStyle w:val="BodyText"/>
      </w:pPr>
      <w:r>
        <w:t>Run the model.</w:t>
      </w:r>
    </w:p>
    <w:p w14:paraId="7C3F2D72" w14:textId="77777777" w:rsidR="00AF76C0" w:rsidRDefault="00AF76C0">
      <w:pPr>
        <w:pStyle w:val="BodyText"/>
      </w:pPr>
    </w:p>
    <w:p w14:paraId="1EBF60C2" w14:textId="77777777" w:rsidR="00AF76C0" w:rsidRDefault="00000000">
      <w:pPr>
        <w:pStyle w:val="BodyText"/>
      </w:pPr>
      <w:r>
        <w:rPr>
          <w:noProof/>
        </w:rPr>
        <w:drawing>
          <wp:inline distT="0" distB="0" distL="0" distR="0" wp14:anchorId="495DD458" wp14:editId="2FA80558">
            <wp:extent cx="4800600" cy="1762592"/>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Cochrane_DTA_9.4.2_example_1/Pictures/Analysis_6.png"/>
                    <pic:cNvPicPr>
                      <a:picLocks noChangeAspect="1" noChangeArrowheads="1"/>
                    </pic:cNvPicPr>
                  </pic:nvPicPr>
                  <pic:blipFill>
                    <a:blip r:embed="rId21"/>
                    <a:stretch>
                      <a:fillRect/>
                    </a:stretch>
                  </pic:blipFill>
                  <pic:spPr bwMode="auto">
                    <a:xfrm>
                      <a:off x="0" y="0"/>
                      <a:ext cx="4800600" cy="1762592"/>
                    </a:xfrm>
                    <a:prstGeom prst="rect">
                      <a:avLst/>
                    </a:prstGeom>
                    <a:noFill/>
                    <a:ln w="9525">
                      <a:noFill/>
                      <a:headEnd/>
                      <a:tailEnd/>
                    </a:ln>
                  </pic:spPr>
                </pic:pic>
              </a:graphicData>
            </a:graphic>
          </wp:inline>
        </w:drawing>
      </w:r>
    </w:p>
    <w:p w14:paraId="2EEFACFF" w14:textId="77777777" w:rsidR="00AF76C0" w:rsidRDefault="00AF76C0">
      <w:pPr>
        <w:pStyle w:val="BodyText"/>
      </w:pPr>
    </w:p>
    <w:p w14:paraId="3BCC8728" w14:textId="77777777" w:rsidR="00AF76C0" w:rsidRDefault="00000000">
      <w:pPr>
        <w:pStyle w:val="BodyText"/>
      </w:pPr>
      <w:r>
        <w:t xml:space="preserve">Another text box will pop up. Click </w:t>
      </w:r>
      <w:r>
        <w:rPr>
          <w:b/>
          <w:bCs/>
        </w:rPr>
        <w:t>OK</w:t>
      </w:r>
      <w:r>
        <w:t xml:space="preserve"> to close it.</w:t>
      </w:r>
    </w:p>
    <w:p w14:paraId="3069DF2D" w14:textId="77777777" w:rsidR="00AF76C0" w:rsidRDefault="00AF76C0">
      <w:pPr>
        <w:pStyle w:val="BodyText"/>
      </w:pPr>
    </w:p>
    <w:p w14:paraId="68A38C6C" w14:textId="77777777" w:rsidR="00AF76C0" w:rsidRDefault="00000000">
      <w:pPr>
        <w:pStyle w:val="BodyText"/>
      </w:pPr>
      <w:r>
        <w:rPr>
          <w:noProof/>
        </w:rPr>
        <w:drawing>
          <wp:inline distT="0" distB="0" distL="0" distR="0" wp14:anchorId="5BE1BE7C" wp14:editId="7E5579C1">
            <wp:extent cx="4800600" cy="1852513"/>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9" name="Picture" descr="./Cochrane_DTA_9.4.2_example_1/Pictures/Analysis_7.png"/>
                    <pic:cNvPicPr>
                      <a:picLocks noChangeAspect="1" noChangeArrowheads="1"/>
                    </pic:cNvPicPr>
                  </pic:nvPicPr>
                  <pic:blipFill>
                    <a:blip r:embed="rId22"/>
                    <a:stretch>
                      <a:fillRect/>
                    </a:stretch>
                  </pic:blipFill>
                  <pic:spPr bwMode="auto">
                    <a:xfrm>
                      <a:off x="0" y="0"/>
                      <a:ext cx="4800600" cy="1852513"/>
                    </a:xfrm>
                    <a:prstGeom prst="rect">
                      <a:avLst/>
                    </a:prstGeom>
                    <a:noFill/>
                    <a:ln w="9525">
                      <a:noFill/>
                      <a:headEnd/>
                      <a:tailEnd/>
                    </a:ln>
                  </pic:spPr>
                </pic:pic>
              </a:graphicData>
            </a:graphic>
          </wp:inline>
        </w:drawing>
      </w:r>
    </w:p>
    <w:p w14:paraId="654F0B96" w14:textId="77777777" w:rsidR="00AF76C0" w:rsidRDefault="00AF76C0">
      <w:pPr>
        <w:pStyle w:val="BodyText"/>
      </w:pPr>
    </w:p>
    <w:p w14:paraId="247C591A" w14:textId="77777777" w:rsidR="00AF76C0" w:rsidRDefault="00000000">
      <w:pPr>
        <w:pStyle w:val="BodyText"/>
      </w:pPr>
      <w:r>
        <w:lastRenderedPageBreak/>
        <w:t>It will take some time for the model to run, and may appear that nothing is happening. Be patient! When the analysis has finished running, the SROC plot will appear on the right of the screen.</w:t>
      </w:r>
    </w:p>
    <w:p w14:paraId="51730B98" w14:textId="77777777" w:rsidR="00AF76C0" w:rsidRDefault="00AF76C0">
      <w:pPr>
        <w:pStyle w:val="BodyText"/>
      </w:pPr>
    </w:p>
    <w:p w14:paraId="45909531" w14:textId="77777777" w:rsidR="00AF76C0" w:rsidRDefault="00000000">
      <w:pPr>
        <w:pStyle w:val="BodyText"/>
      </w:pPr>
      <w:r>
        <w:rPr>
          <w:noProof/>
        </w:rPr>
        <w:drawing>
          <wp:inline distT="0" distB="0" distL="0" distR="0" wp14:anchorId="302CD1BB" wp14:editId="4276CD13">
            <wp:extent cx="3733800" cy="373380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Cochrane_DTA_9.4.2_example_1/Pictures/SROC.png"/>
                    <pic:cNvPicPr>
                      <a:picLocks noChangeAspect="1" noChangeArrowheads="1"/>
                    </pic:cNvPicPr>
                  </pic:nvPicPr>
                  <pic:blipFill>
                    <a:blip r:embed="rId23"/>
                    <a:stretch>
                      <a:fillRect/>
                    </a:stretch>
                  </pic:blipFill>
                  <pic:spPr bwMode="auto">
                    <a:xfrm>
                      <a:off x="0" y="0"/>
                      <a:ext cx="3733800" cy="3733800"/>
                    </a:xfrm>
                    <a:prstGeom prst="rect">
                      <a:avLst/>
                    </a:prstGeom>
                    <a:noFill/>
                    <a:ln w="9525">
                      <a:noFill/>
                      <a:headEnd/>
                      <a:tailEnd/>
                    </a:ln>
                  </pic:spPr>
                </pic:pic>
              </a:graphicData>
            </a:graphic>
          </wp:inline>
        </w:drawing>
      </w:r>
    </w:p>
    <w:p w14:paraId="56B863DF" w14:textId="77777777" w:rsidR="00AF76C0" w:rsidRDefault="00AF76C0">
      <w:pPr>
        <w:pStyle w:val="BodyText"/>
      </w:pPr>
    </w:p>
    <w:p w14:paraId="7ADC5180" w14:textId="77777777" w:rsidR="00AF76C0" w:rsidRDefault="00000000">
      <w:pPr>
        <w:pStyle w:val="BodyText"/>
      </w:pPr>
      <w:r>
        <w:t xml:space="preserve">Navigate to the </w:t>
      </w:r>
      <w:r>
        <w:rPr>
          <w:b/>
          <w:bCs/>
        </w:rPr>
        <w:t>Parameter Estimates</w:t>
      </w:r>
      <w:r>
        <w:t xml:space="preserve"> tab.</w:t>
      </w:r>
    </w:p>
    <w:p w14:paraId="712FA67D" w14:textId="77777777" w:rsidR="00AF76C0" w:rsidRDefault="00AF76C0">
      <w:pPr>
        <w:pStyle w:val="BodyText"/>
      </w:pPr>
    </w:p>
    <w:p w14:paraId="4C130784" w14:textId="77777777" w:rsidR="00AF76C0" w:rsidRDefault="00000000">
      <w:pPr>
        <w:pStyle w:val="BodyText"/>
      </w:pPr>
      <w:r>
        <w:rPr>
          <w:noProof/>
        </w:rPr>
        <w:lastRenderedPageBreak/>
        <w:drawing>
          <wp:inline distT="0" distB="0" distL="0" distR="0" wp14:anchorId="62A61915" wp14:editId="191D29E6">
            <wp:extent cx="4800600" cy="5055123"/>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Cochrane_DTA_9.4.2_example_1/Pictures/Parameters.png"/>
                    <pic:cNvPicPr>
                      <a:picLocks noChangeAspect="1" noChangeArrowheads="1"/>
                    </pic:cNvPicPr>
                  </pic:nvPicPr>
                  <pic:blipFill>
                    <a:blip r:embed="rId24"/>
                    <a:stretch>
                      <a:fillRect/>
                    </a:stretch>
                  </pic:blipFill>
                  <pic:spPr bwMode="auto">
                    <a:xfrm>
                      <a:off x="0" y="0"/>
                      <a:ext cx="4800600" cy="5055123"/>
                    </a:xfrm>
                    <a:prstGeom prst="rect">
                      <a:avLst/>
                    </a:prstGeom>
                    <a:noFill/>
                    <a:ln w="9525">
                      <a:noFill/>
                      <a:headEnd/>
                      <a:tailEnd/>
                    </a:ln>
                  </pic:spPr>
                </pic:pic>
              </a:graphicData>
            </a:graphic>
          </wp:inline>
        </w:drawing>
      </w:r>
    </w:p>
    <w:p w14:paraId="11142168" w14:textId="77777777" w:rsidR="00AF76C0" w:rsidRDefault="00AF76C0">
      <w:pPr>
        <w:pStyle w:val="BodyText"/>
      </w:pPr>
    </w:p>
    <w:p w14:paraId="4C524D13" w14:textId="77777777" w:rsidR="00AF76C0" w:rsidRDefault="00000000">
      <w:pPr>
        <w:pStyle w:val="Heading2"/>
      </w:pPr>
      <w:bookmarkStart w:id="10" w:name="estimate-the-parameters-optional"/>
      <w:bookmarkStart w:id="11" w:name="_Toc153208215"/>
      <w:bookmarkEnd w:id="8"/>
      <w:r>
        <w:rPr>
          <w:rStyle w:val="SectionNumber"/>
        </w:rPr>
        <w:t>2.4</w:t>
      </w:r>
      <w:r>
        <w:tab/>
        <w:t>Estimate the parameters (optional)</w:t>
      </w:r>
      <w:bookmarkEnd w:id="11"/>
    </w:p>
    <w:p w14:paraId="0C63B7E2" w14:textId="77777777" w:rsidR="00AF76C0" w:rsidRDefault="00000000">
      <w:pPr>
        <w:pStyle w:val="FirstParagraph"/>
      </w:pPr>
      <w:r>
        <w:t>The table below is from chapter 9, page 16, of the handbook, and contains the parameter estimates and their standard errors from the frequentist Bivariate model.</w:t>
      </w:r>
    </w:p>
    <w:p w14:paraId="689214BE" w14:textId="77777777" w:rsidR="00AF76C0" w:rsidRDefault="00AF76C0">
      <w:pPr>
        <w:pStyle w:val="BodyText"/>
      </w:pPr>
    </w:p>
    <w:p w14:paraId="4732AD57" w14:textId="77777777" w:rsidR="00AF76C0" w:rsidRDefault="00000000">
      <w:pPr>
        <w:pStyle w:val="CaptionedFigure"/>
      </w:pPr>
      <w:r>
        <w:rPr>
          <w:noProof/>
        </w:rPr>
        <w:lastRenderedPageBreak/>
        <w:drawing>
          <wp:inline distT="0" distB="0" distL="0" distR="0" wp14:anchorId="0EDD2C48" wp14:editId="55F883D2">
            <wp:extent cx="5334000" cy="2728113"/>
            <wp:effectExtent l="0" t="0" r="0" b="0"/>
            <wp:docPr id="68" name="Picture" descr="Figure 2.1: Parameter estimates from the frequentist bivariate model"/>
            <wp:cNvGraphicFramePr/>
            <a:graphic xmlns:a="http://schemas.openxmlformats.org/drawingml/2006/main">
              <a:graphicData uri="http://schemas.openxmlformats.org/drawingml/2006/picture">
                <pic:pic xmlns:pic="http://schemas.openxmlformats.org/drawingml/2006/picture">
                  <pic:nvPicPr>
                    <pic:cNvPr id="69" name="Picture" descr="./Cochrane_DTA_9.4.2_example_1/Pictures/Cochrane_parameters.png"/>
                    <pic:cNvPicPr>
                      <a:picLocks noChangeAspect="1" noChangeArrowheads="1"/>
                    </pic:cNvPicPr>
                  </pic:nvPicPr>
                  <pic:blipFill>
                    <a:blip r:embed="rId25"/>
                    <a:stretch>
                      <a:fillRect/>
                    </a:stretch>
                  </pic:blipFill>
                  <pic:spPr bwMode="auto">
                    <a:xfrm>
                      <a:off x="0" y="0"/>
                      <a:ext cx="5334000" cy="2728113"/>
                    </a:xfrm>
                    <a:prstGeom prst="rect">
                      <a:avLst/>
                    </a:prstGeom>
                    <a:noFill/>
                    <a:ln w="9525">
                      <a:noFill/>
                      <a:headEnd/>
                      <a:tailEnd/>
                    </a:ln>
                  </pic:spPr>
                </pic:pic>
              </a:graphicData>
            </a:graphic>
          </wp:inline>
        </w:drawing>
      </w:r>
    </w:p>
    <w:p w14:paraId="7E30C728" w14:textId="77777777" w:rsidR="00AF76C0" w:rsidRDefault="00000000">
      <w:pPr>
        <w:pStyle w:val="ImageCaption"/>
      </w:pPr>
      <w:bookmarkStart w:id="12" w:name="fig:cochraneParameters"/>
      <w:bookmarkEnd w:id="12"/>
      <w:r>
        <w:t>Figure 2.1: Parameter estimates from the frequentist bivariate model</w:t>
      </w:r>
    </w:p>
    <w:p w14:paraId="30554098" w14:textId="77777777" w:rsidR="00AF76C0" w:rsidRDefault="00AF76C0">
      <w:pPr>
        <w:pStyle w:val="BodyText"/>
      </w:pPr>
    </w:p>
    <w:p w14:paraId="519BD2D2" w14:textId="77777777" w:rsidR="00AF76C0" w:rsidRDefault="00000000">
      <w:pPr>
        <w:pStyle w:val="BodyText"/>
      </w:pPr>
      <w:r>
        <w:t>Next are the estimated means and standard deviations of the parameters, together with quantiles, from the Bayesian model, found in chapter 10, page 17 of the handbook.</w:t>
      </w:r>
    </w:p>
    <w:p w14:paraId="61F3A6B1" w14:textId="77777777" w:rsidR="00AF76C0" w:rsidRDefault="00000000">
      <w:pPr>
        <w:pStyle w:val="CaptionedFigure"/>
      </w:pPr>
      <w:r>
        <w:rPr>
          <w:noProof/>
        </w:rPr>
        <w:drawing>
          <wp:inline distT="0" distB="0" distL="0" distR="0" wp14:anchorId="39E5FBF0" wp14:editId="46FEE833">
            <wp:extent cx="5334000" cy="1231726"/>
            <wp:effectExtent l="0" t="0" r="0" b="0"/>
            <wp:docPr id="72" name="Picture" descr="Figure 2.2: Parameter estimates from the Bayesian bivariate model"/>
            <wp:cNvGraphicFramePr/>
            <a:graphic xmlns:a="http://schemas.openxmlformats.org/drawingml/2006/main">
              <a:graphicData uri="http://schemas.openxmlformats.org/drawingml/2006/picture">
                <pic:pic xmlns:pic="http://schemas.openxmlformats.org/drawingml/2006/picture">
                  <pic:nvPicPr>
                    <pic:cNvPr id="73" name="Picture" descr="./Cochrane_DTA_9.4.2_example_1/Pictures/Cochrane_Bayes.png"/>
                    <pic:cNvPicPr>
                      <a:picLocks noChangeAspect="1" noChangeArrowheads="1"/>
                    </pic:cNvPicPr>
                  </pic:nvPicPr>
                  <pic:blipFill>
                    <a:blip r:embed="rId26"/>
                    <a:stretch>
                      <a:fillRect/>
                    </a:stretch>
                  </pic:blipFill>
                  <pic:spPr bwMode="auto">
                    <a:xfrm>
                      <a:off x="0" y="0"/>
                      <a:ext cx="5334000" cy="1231726"/>
                    </a:xfrm>
                    <a:prstGeom prst="rect">
                      <a:avLst/>
                    </a:prstGeom>
                    <a:noFill/>
                    <a:ln w="9525">
                      <a:noFill/>
                      <a:headEnd/>
                      <a:tailEnd/>
                    </a:ln>
                  </pic:spPr>
                </pic:pic>
              </a:graphicData>
            </a:graphic>
          </wp:inline>
        </w:drawing>
      </w:r>
    </w:p>
    <w:p w14:paraId="5B4EBD6D" w14:textId="77777777" w:rsidR="00AF76C0" w:rsidRDefault="00000000">
      <w:pPr>
        <w:pStyle w:val="ImageCaption"/>
      </w:pPr>
      <w:bookmarkStart w:id="13" w:name="fig:cochraneParametersBayes"/>
      <w:bookmarkEnd w:id="13"/>
      <w:r>
        <w:t>Figure 2.2: Parameter estimates from the Bayesian bivariate model</w:t>
      </w:r>
    </w:p>
    <w:p w14:paraId="76C5D25D" w14:textId="77777777" w:rsidR="00AF76C0" w:rsidRDefault="00AF76C0">
      <w:pPr>
        <w:pStyle w:val="BodyText"/>
      </w:pPr>
    </w:p>
    <w:p w14:paraId="1E243CD6" w14:textId="77777777" w:rsidR="00AF76C0" w:rsidRDefault="00000000">
      <w:pPr>
        <w:pStyle w:val="BodyText"/>
      </w:pPr>
      <w:r>
        <w:t>The three sources use different notation for the parameters. The table below shows which parameters are which.</w:t>
      </w:r>
    </w:p>
    <w:tbl>
      <w:tblPr>
        <w:tblStyle w:val="Table"/>
        <w:tblW w:w="5000" w:type="pct"/>
        <w:tblLook w:val="0020" w:firstRow="1" w:lastRow="0" w:firstColumn="0" w:lastColumn="0" w:noHBand="0" w:noVBand="0"/>
      </w:tblPr>
      <w:tblGrid>
        <w:gridCol w:w="3024"/>
        <w:gridCol w:w="1083"/>
        <w:gridCol w:w="1083"/>
        <w:gridCol w:w="1442"/>
        <w:gridCol w:w="1442"/>
        <w:gridCol w:w="1502"/>
      </w:tblGrid>
      <w:tr w:rsidR="00AF76C0" w14:paraId="23B66D65"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6F3EABBD" w14:textId="77777777" w:rsidR="00AF76C0" w:rsidRDefault="00000000">
            <w:pPr>
              <w:pStyle w:val="Compact"/>
            </w:pPr>
            <w:r>
              <w:t>Parameters</w:t>
            </w:r>
          </w:p>
        </w:tc>
        <w:tc>
          <w:tcPr>
            <w:tcW w:w="0" w:type="auto"/>
          </w:tcPr>
          <w:p w14:paraId="524F753C" w14:textId="77777777" w:rsidR="00AF76C0" w:rsidRDefault="00AF76C0">
            <w:pPr>
              <w:pStyle w:val="Compact"/>
            </w:pPr>
          </w:p>
        </w:tc>
        <w:tc>
          <w:tcPr>
            <w:tcW w:w="0" w:type="auto"/>
          </w:tcPr>
          <w:p w14:paraId="4D515723" w14:textId="77777777" w:rsidR="00AF76C0" w:rsidRDefault="00AF76C0">
            <w:pPr>
              <w:pStyle w:val="Compact"/>
            </w:pPr>
          </w:p>
        </w:tc>
        <w:tc>
          <w:tcPr>
            <w:tcW w:w="0" w:type="auto"/>
          </w:tcPr>
          <w:p w14:paraId="4488B979" w14:textId="77777777" w:rsidR="00AF76C0" w:rsidRDefault="00AF76C0">
            <w:pPr>
              <w:pStyle w:val="Compact"/>
            </w:pPr>
          </w:p>
        </w:tc>
        <w:tc>
          <w:tcPr>
            <w:tcW w:w="0" w:type="auto"/>
          </w:tcPr>
          <w:p w14:paraId="4C40360A" w14:textId="77777777" w:rsidR="00AF76C0" w:rsidRDefault="00AF76C0">
            <w:pPr>
              <w:pStyle w:val="Compact"/>
            </w:pPr>
          </w:p>
        </w:tc>
        <w:tc>
          <w:tcPr>
            <w:tcW w:w="0" w:type="auto"/>
          </w:tcPr>
          <w:p w14:paraId="56660ABA" w14:textId="77777777" w:rsidR="00AF76C0" w:rsidRDefault="00AF76C0">
            <w:pPr>
              <w:pStyle w:val="Compact"/>
            </w:pPr>
          </w:p>
        </w:tc>
      </w:tr>
      <w:tr w:rsidR="00AF76C0" w14:paraId="724D3190" w14:textId="77777777">
        <w:tc>
          <w:tcPr>
            <w:tcW w:w="0" w:type="auto"/>
          </w:tcPr>
          <w:p w14:paraId="288F7DC8" w14:textId="77777777" w:rsidR="00AF76C0" w:rsidRDefault="00000000">
            <w:pPr>
              <w:pStyle w:val="Compact"/>
            </w:pPr>
            <w:r>
              <w:t>Cochrane frequentist</w:t>
            </w:r>
          </w:p>
        </w:tc>
        <w:tc>
          <w:tcPr>
            <w:tcW w:w="0" w:type="auto"/>
          </w:tcPr>
          <w:p w14:paraId="23D91D14"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A</m:t>
                    </m:r>
                  </m:sub>
                </m:sSub>
              </m:oMath>
            </m:oMathPara>
          </w:p>
        </w:tc>
        <w:tc>
          <w:tcPr>
            <w:tcW w:w="0" w:type="auto"/>
          </w:tcPr>
          <w:p w14:paraId="5B3D3D50"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B</m:t>
                    </m:r>
                  </m:sub>
                </m:sSub>
              </m:oMath>
            </m:oMathPara>
          </w:p>
        </w:tc>
        <w:tc>
          <w:tcPr>
            <w:tcW w:w="0" w:type="auto"/>
          </w:tcPr>
          <w:p w14:paraId="576616FA"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m:oMathPara>
          </w:p>
        </w:tc>
        <w:tc>
          <w:tcPr>
            <w:tcW w:w="0" w:type="auto"/>
          </w:tcPr>
          <w:p w14:paraId="028C6AC3"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oMath>
            </m:oMathPara>
          </w:p>
        </w:tc>
        <w:tc>
          <w:tcPr>
            <w:tcW w:w="0" w:type="auto"/>
          </w:tcPr>
          <w:p w14:paraId="5FE86A91" w14:textId="77777777" w:rsidR="00AF76C0" w:rsidRDefault="00000000">
            <w:pPr>
              <w:pStyle w:val="Compact"/>
            </w:pPr>
            <m:oMathPara>
              <m:oMath>
                <m:sSub>
                  <m:sSubPr>
                    <m:ctrlPr>
                      <w:rPr>
                        <w:rFonts w:ascii="Cambria Math" w:hAnsi="Cambria Math"/>
                      </w:rPr>
                    </m:ctrlPr>
                  </m:sSubPr>
                  <m:e>
                    <m:r>
                      <w:rPr>
                        <w:rFonts w:ascii="Cambria Math" w:hAnsi="Cambria Math"/>
                      </w:rPr>
                      <m:t>σ</m:t>
                    </m:r>
                  </m:e>
                  <m:sub>
                    <m:r>
                      <w:rPr>
                        <w:rFonts w:ascii="Cambria Math" w:hAnsi="Cambria Math"/>
                      </w:rPr>
                      <m:t>AB</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A</m:t>
                    </m:r>
                  </m:sub>
                </m:sSub>
                <m:sSub>
                  <m:sSubPr>
                    <m:ctrlPr>
                      <w:rPr>
                        <w:rFonts w:ascii="Cambria Math" w:hAnsi="Cambria Math"/>
                      </w:rPr>
                    </m:ctrlPr>
                  </m:sSubPr>
                  <m:e>
                    <m:r>
                      <w:rPr>
                        <w:rFonts w:ascii="Cambria Math" w:hAnsi="Cambria Math"/>
                      </w:rPr>
                      <m:t>σ</m:t>
                    </m:r>
                  </m:e>
                  <m:sub>
                    <m:r>
                      <w:rPr>
                        <w:rFonts w:ascii="Cambria Math" w:hAnsi="Cambria Math"/>
                      </w:rPr>
                      <m:t>B</m:t>
                    </m:r>
                  </m:sub>
                </m:sSub>
              </m:oMath>
            </m:oMathPara>
          </w:p>
        </w:tc>
      </w:tr>
      <w:tr w:rsidR="00AF76C0" w14:paraId="4B7974C8" w14:textId="77777777">
        <w:tc>
          <w:tcPr>
            <w:tcW w:w="0" w:type="auto"/>
          </w:tcPr>
          <w:p w14:paraId="16735FF2" w14:textId="77777777" w:rsidR="00AF76C0" w:rsidRDefault="00000000">
            <w:pPr>
              <w:pStyle w:val="Compact"/>
            </w:pPr>
            <w:r>
              <w:t>Cochrane Bayesian</w:t>
            </w:r>
          </w:p>
        </w:tc>
        <w:tc>
          <w:tcPr>
            <w:tcW w:w="0" w:type="auto"/>
          </w:tcPr>
          <w:p w14:paraId="63347957" w14:textId="77777777" w:rsidR="00AF76C0" w:rsidRDefault="00000000">
            <w:pPr>
              <w:pStyle w:val="Compact"/>
            </w:pPr>
            <w:r>
              <w:t>mu[1]</w:t>
            </w:r>
          </w:p>
        </w:tc>
        <w:tc>
          <w:tcPr>
            <w:tcW w:w="0" w:type="auto"/>
          </w:tcPr>
          <w:p w14:paraId="6F1FE1CF" w14:textId="77777777" w:rsidR="00AF76C0" w:rsidRDefault="00000000">
            <w:pPr>
              <w:pStyle w:val="Compact"/>
            </w:pPr>
            <w:r>
              <w:t>mu[2]</w:t>
            </w:r>
          </w:p>
        </w:tc>
        <w:tc>
          <w:tcPr>
            <w:tcW w:w="0" w:type="auto"/>
          </w:tcPr>
          <w:p w14:paraId="3526AEEC" w14:textId="77777777" w:rsidR="00AF76C0" w:rsidRDefault="00000000">
            <w:pPr>
              <w:pStyle w:val="Compact"/>
            </w:pPr>
            <w:r>
              <w:t>tau.sq[1]</w:t>
            </w:r>
          </w:p>
        </w:tc>
        <w:tc>
          <w:tcPr>
            <w:tcW w:w="0" w:type="auto"/>
          </w:tcPr>
          <w:p w14:paraId="28115CCB" w14:textId="77777777" w:rsidR="00AF76C0" w:rsidRDefault="00000000">
            <w:pPr>
              <w:pStyle w:val="Compact"/>
            </w:pPr>
            <w:r>
              <w:t>tau.sq[2]</w:t>
            </w:r>
          </w:p>
        </w:tc>
        <w:tc>
          <w:tcPr>
            <w:tcW w:w="0" w:type="auto"/>
          </w:tcPr>
          <w:p w14:paraId="3D218F0B" w14:textId="77777777" w:rsidR="00AF76C0" w:rsidRDefault="00000000">
            <w:pPr>
              <w:pStyle w:val="Compact"/>
            </w:pPr>
            <w:r>
              <w:t>rho</w:t>
            </w:r>
          </w:p>
        </w:tc>
      </w:tr>
      <w:tr w:rsidR="00AF76C0" w14:paraId="55EE32F6" w14:textId="77777777">
        <w:tc>
          <w:tcPr>
            <w:tcW w:w="0" w:type="auto"/>
          </w:tcPr>
          <w:p w14:paraId="0D820A0E" w14:textId="77777777" w:rsidR="00AF76C0" w:rsidRDefault="00000000">
            <w:pPr>
              <w:pStyle w:val="Compact"/>
            </w:pPr>
            <w:r>
              <w:t>MetaBayesDTA</w:t>
            </w:r>
          </w:p>
        </w:tc>
        <w:tc>
          <w:tcPr>
            <w:tcW w:w="0" w:type="auto"/>
          </w:tcPr>
          <w:p w14:paraId="50C8760E"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1</m:t>
                    </m:r>
                  </m:sub>
                </m:sSub>
              </m:oMath>
            </m:oMathPara>
          </w:p>
        </w:tc>
        <w:tc>
          <w:tcPr>
            <w:tcW w:w="0" w:type="auto"/>
          </w:tcPr>
          <w:p w14:paraId="3565CF0D"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0</m:t>
                    </m:r>
                  </m:sub>
                </m:sSub>
              </m:oMath>
            </m:oMathPara>
          </w:p>
        </w:tc>
        <w:tc>
          <w:tcPr>
            <w:tcW w:w="0" w:type="auto"/>
          </w:tcPr>
          <w:p w14:paraId="1DC50901"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1</m:t>
                    </m:r>
                  </m:sub>
                  <m:sup>
                    <m:r>
                      <w:rPr>
                        <w:rFonts w:ascii="Cambria Math" w:hAnsi="Cambria Math"/>
                      </w:rPr>
                      <m:t>2</m:t>
                    </m:r>
                  </m:sup>
                </m:sSubSup>
              </m:oMath>
            </m:oMathPara>
          </w:p>
        </w:tc>
        <w:tc>
          <w:tcPr>
            <w:tcW w:w="0" w:type="auto"/>
          </w:tcPr>
          <w:p w14:paraId="2AF738B1"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0</m:t>
                    </m:r>
                  </m:sub>
                  <m:sup>
                    <m:r>
                      <w:rPr>
                        <w:rFonts w:ascii="Cambria Math" w:hAnsi="Cambria Math"/>
                      </w:rPr>
                      <m:t>2</m:t>
                    </m:r>
                  </m:sup>
                </m:sSubSup>
              </m:oMath>
            </m:oMathPara>
          </w:p>
        </w:tc>
        <w:tc>
          <w:tcPr>
            <w:tcW w:w="0" w:type="auto"/>
          </w:tcPr>
          <w:p w14:paraId="6946A328" w14:textId="77777777" w:rsidR="00AF76C0" w:rsidRDefault="00000000">
            <w:pPr>
              <w:pStyle w:val="Compact"/>
            </w:pPr>
            <m:oMathPara>
              <m:oMath>
                <m:r>
                  <w:rPr>
                    <w:rFonts w:ascii="Cambria Math" w:hAnsi="Cambria Math"/>
                  </w:rPr>
                  <m:t>ρ</m:t>
                </m:r>
              </m:oMath>
            </m:oMathPara>
          </w:p>
        </w:tc>
      </w:tr>
    </w:tbl>
    <w:p w14:paraId="2E25E3C1" w14:textId="77777777" w:rsidR="00AF76C0" w:rsidRDefault="00000000">
      <w:pPr>
        <w:pStyle w:val="BodyText"/>
      </w:pPr>
      <w:r>
        <w:t xml:space="preserve">MetaBayesDTA does not currently produce estimates of all of the parameters in the Cochrane handbook, and provides only median parameter estimates and posterior intervals for those that it does. However, all the output in the handbook can be estimated </w:t>
      </w:r>
      <w:r>
        <w:lastRenderedPageBreak/>
        <w:t>from MetaBayesDTA output. This is done for each parameter in the following subsections, with justification for the calculations provided in the appendix.</w:t>
      </w:r>
    </w:p>
    <w:p w14:paraId="7E9F3B86" w14:textId="77777777" w:rsidR="00AF76C0" w:rsidRDefault="00000000">
      <w:pPr>
        <w:pStyle w:val="BodyText"/>
      </w:pPr>
      <w:r>
        <w:t>Each subsection has a summary table in which the parameter estimates and standard deviations are displayed. For the frequentist models these are parameter estimates and their standard errors. For the Bayesian models they are the median and standard deviation of the posterior distributions. In addition, there are 95% posterior intervals for the Bayesian models.</w:t>
      </w:r>
    </w:p>
    <w:p w14:paraId="3DBB90C5" w14:textId="77777777" w:rsidR="00AF76C0" w:rsidRDefault="00000000">
      <w:pPr>
        <w:pStyle w:val="BodyText"/>
      </w:pPr>
      <w:r>
        <w:t>Since the estimation methods used for the Bayesian analysis are based on simulations, values can vary slightly with each analysis. The variability can be reduced by increasing the number of iterations.</w:t>
      </w:r>
    </w:p>
    <w:p w14:paraId="5FADB09A" w14:textId="77777777" w:rsidR="00AF76C0" w:rsidRDefault="00AF76C0">
      <w:pPr>
        <w:pStyle w:val="BodyText"/>
      </w:pPr>
    </w:p>
    <w:p w14:paraId="255CF863" w14:textId="77777777" w:rsidR="00AF76C0" w:rsidRDefault="00000000">
      <w:pPr>
        <w:pStyle w:val="Heading3"/>
      </w:pPr>
      <w:bookmarkStart w:id="14" w:name="mean-logit-sensitivity-mu_a"/>
      <w:bookmarkStart w:id="15" w:name="_Toc153208216"/>
      <w:r>
        <w:rPr>
          <w:rStyle w:val="SectionNumber"/>
        </w:rPr>
        <w:t>2.4.1</w:t>
      </w:r>
      <w:r>
        <w:tab/>
        <w:t>Mean logit sensitivity (</w:t>
      </w:r>
      <m:oMath>
        <m:sSub>
          <m:sSubPr>
            <m:ctrlPr>
              <w:rPr>
                <w:rFonts w:ascii="Cambria Math" w:hAnsi="Cambria Math"/>
              </w:rPr>
            </m:ctrlPr>
          </m:sSubPr>
          <m:e>
            <m:r>
              <m:rPr>
                <m:sty m:val="bi"/>
              </m:rPr>
              <w:rPr>
                <w:rFonts w:ascii="Cambria Math" w:hAnsi="Cambria Math"/>
              </w:rPr>
              <m:t>μ</m:t>
            </m:r>
          </m:e>
          <m:sub>
            <m:r>
              <m:rPr>
                <m:sty m:val="bi"/>
              </m:rPr>
              <w:rPr>
                <w:rFonts w:ascii="Cambria Math" w:hAnsi="Cambria Math"/>
              </w:rPr>
              <m:t>A</m:t>
            </m:r>
          </m:sub>
        </m:sSub>
      </m:oMath>
      <w:r>
        <w:t>)</w:t>
      </w:r>
      <w:bookmarkEnd w:id="15"/>
    </w:p>
    <w:tbl>
      <w:tblPr>
        <w:tblStyle w:val="Table"/>
        <w:tblW w:w="5000" w:type="pct"/>
        <w:tblLook w:val="0020" w:firstRow="1" w:lastRow="0" w:firstColumn="0" w:lastColumn="0" w:noHBand="0" w:noVBand="0"/>
      </w:tblPr>
      <w:tblGrid>
        <w:gridCol w:w="2387"/>
        <w:gridCol w:w="1127"/>
        <w:gridCol w:w="2181"/>
        <w:gridCol w:w="1950"/>
        <w:gridCol w:w="1931"/>
      </w:tblGrid>
      <w:tr w:rsidR="00AF76C0" w14:paraId="594B77B5"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7AB1ABC7" w14:textId="77777777" w:rsidR="00AF76C0" w:rsidRDefault="00AF76C0">
            <w:pPr>
              <w:pStyle w:val="Compact"/>
            </w:pPr>
          </w:p>
        </w:tc>
        <w:tc>
          <w:tcPr>
            <w:tcW w:w="0" w:type="auto"/>
          </w:tcPr>
          <w:p w14:paraId="0D17EBE1" w14:textId="77777777" w:rsidR="00AF76C0" w:rsidRDefault="00000000">
            <w:pPr>
              <w:pStyle w:val="Compact"/>
            </w:pPr>
            <w:r>
              <w:t>Estimate</w:t>
            </w:r>
          </w:p>
        </w:tc>
        <w:tc>
          <w:tcPr>
            <w:tcW w:w="0" w:type="auto"/>
          </w:tcPr>
          <w:p w14:paraId="69C0D081" w14:textId="77777777" w:rsidR="00AF76C0" w:rsidRDefault="00000000">
            <w:pPr>
              <w:pStyle w:val="Compact"/>
            </w:pPr>
            <w:r>
              <w:t>Standard deviation</w:t>
            </w:r>
          </w:p>
        </w:tc>
        <w:tc>
          <w:tcPr>
            <w:tcW w:w="0" w:type="auto"/>
          </w:tcPr>
          <w:p w14:paraId="250BE6CA" w14:textId="77777777" w:rsidR="00AF76C0" w:rsidRDefault="00000000">
            <w:pPr>
              <w:pStyle w:val="Compact"/>
            </w:pPr>
            <w:r>
              <w:t>Lower 95% limit</w:t>
            </w:r>
          </w:p>
        </w:tc>
        <w:tc>
          <w:tcPr>
            <w:tcW w:w="0" w:type="auto"/>
          </w:tcPr>
          <w:p w14:paraId="54A1ABDF" w14:textId="77777777" w:rsidR="00AF76C0" w:rsidRDefault="00000000">
            <w:pPr>
              <w:pStyle w:val="Compact"/>
            </w:pPr>
            <w:r>
              <w:t>Upper 95% limit</w:t>
            </w:r>
          </w:p>
        </w:tc>
      </w:tr>
      <w:tr w:rsidR="00AF76C0" w14:paraId="298049C4" w14:textId="77777777">
        <w:tc>
          <w:tcPr>
            <w:tcW w:w="0" w:type="auto"/>
          </w:tcPr>
          <w:p w14:paraId="3F3C3199" w14:textId="77777777" w:rsidR="00AF76C0" w:rsidRDefault="00000000">
            <w:pPr>
              <w:pStyle w:val="Compact"/>
            </w:pPr>
            <w:r>
              <w:t>Cochrane frequentist</w:t>
            </w:r>
          </w:p>
        </w:tc>
        <w:tc>
          <w:tcPr>
            <w:tcW w:w="0" w:type="auto"/>
          </w:tcPr>
          <w:p w14:paraId="03478211" w14:textId="77777777" w:rsidR="00AF76C0" w:rsidRDefault="00000000">
            <w:pPr>
              <w:pStyle w:val="Compact"/>
            </w:pPr>
            <w:r>
              <w:t>0.6534</w:t>
            </w:r>
          </w:p>
        </w:tc>
        <w:tc>
          <w:tcPr>
            <w:tcW w:w="0" w:type="auto"/>
          </w:tcPr>
          <w:p w14:paraId="69558497" w14:textId="77777777" w:rsidR="00AF76C0" w:rsidRDefault="00000000">
            <w:pPr>
              <w:pStyle w:val="Compact"/>
            </w:pPr>
            <w:r>
              <w:t>0.1275</w:t>
            </w:r>
          </w:p>
        </w:tc>
        <w:tc>
          <w:tcPr>
            <w:tcW w:w="0" w:type="auto"/>
          </w:tcPr>
          <w:p w14:paraId="10CC7A77" w14:textId="77777777" w:rsidR="00AF76C0" w:rsidRDefault="00000000">
            <w:pPr>
              <w:pStyle w:val="Compact"/>
            </w:pPr>
            <w:r>
              <w:t>NA</w:t>
            </w:r>
          </w:p>
        </w:tc>
        <w:tc>
          <w:tcPr>
            <w:tcW w:w="0" w:type="auto"/>
          </w:tcPr>
          <w:p w14:paraId="0F82D70A" w14:textId="77777777" w:rsidR="00AF76C0" w:rsidRDefault="00000000">
            <w:pPr>
              <w:pStyle w:val="Compact"/>
            </w:pPr>
            <w:r>
              <w:t>NA</w:t>
            </w:r>
          </w:p>
        </w:tc>
      </w:tr>
      <w:tr w:rsidR="00AF76C0" w14:paraId="7AA9E005" w14:textId="77777777">
        <w:tc>
          <w:tcPr>
            <w:tcW w:w="0" w:type="auto"/>
          </w:tcPr>
          <w:p w14:paraId="399AA158" w14:textId="77777777" w:rsidR="00AF76C0" w:rsidRDefault="00000000">
            <w:pPr>
              <w:pStyle w:val="Compact"/>
            </w:pPr>
            <w:r>
              <w:t>Cochrane Bayesian</w:t>
            </w:r>
          </w:p>
        </w:tc>
        <w:tc>
          <w:tcPr>
            <w:tcW w:w="0" w:type="auto"/>
          </w:tcPr>
          <w:p w14:paraId="7C2C8F32" w14:textId="77777777" w:rsidR="00AF76C0" w:rsidRDefault="00000000">
            <w:pPr>
              <w:pStyle w:val="Compact"/>
            </w:pPr>
            <w:r>
              <w:t>0.6536</w:t>
            </w:r>
          </w:p>
        </w:tc>
        <w:tc>
          <w:tcPr>
            <w:tcW w:w="0" w:type="auto"/>
          </w:tcPr>
          <w:p w14:paraId="547E7663" w14:textId="77777777" w:rsidR="00AF76C0" w:rsidRDefault="00000000">
            <w:pPr>
              <w:pStyle w:val="Compact"/>
            </w:pPr>
            <w:r>
              <w:t>0.1288</w:t>
            </w:r>
          </w:p>
        </w:tc>
        <w:tc>
          <w:tcPr>
            <w:tcW w:w="0" w:type="auto"/>
          </w:tcPr>
          <w:p w14:paraId="12908C29" w14:textId="77777777" w:rsidR="00AF76C0" w:rsidRDefault="00000000">
            <w:pPr>
              <w:pStyle w:val="Compact"/>
            </w:pPr>
            <w:r>
              <w:t>0.4037</w:t>
            </w:r>
          </w:p>
        </w:tc>
        <w:tc>
          <w:tcPr>
            <w:tcW w:w="0" w:type="auto"/>
          </w:tcPr>
          <w:p w14:paraId="4E5DAC5A" w14:textId="77777777" w:rsidR="00AF76C0" w:rsidRDefault="00000000">
            <w:pPr>
              <w:pStyle w:val="Compact"/>
            </w:pPr>
            <w:r>
              <w:t>0.910</w:t>
            </w:r>
          </w:p>
        </w:tc>
      </w:tr>
      <w:tr w:rsidR="00AF76C0" w14:paraId="393C036D" w14:textId="77777777">
        <w:tc>
          <w:tcPr>
            <w:tcW w:w="0" w:type="auto"/>
          </w:tcPr>
          <w:p w14:paraId="62040C29" w14:textId="77777777" w:rsidR="00AF76C0" w:rsidRDefault="00000000">
            <w:pPr>
              <w:pStyle w:val="Compact"/>
            </w:pPr>
            <w:r>
              <w:t>MetaBayesDTA</w:t>
            </w:r>
          </w:p>
        </w:tc>
        <w:tc>
          <w:tcPr>
            <w:tcW w:w="0" w:type="auto"/>
          </w:tcPr>
          <w:p w14:paraId="505373C2" w14:textId="77777777" w:rsidR="00AF76C0" w:rsidRDefault="00000000">
            <w:pPr>
              <w:pStyle w:val="Compact"/>
            </w:pPr>
            <w:r>
              <w:t>0.6510</w:t>
            </w:r>
          </w:p>
        </w:tc>
        <w:tc>
          <w:tcPr>
            <w:tcW w:w="0" w:type="auto"/>
          </w:tcPr>
          <w:p w14:paraId="2C8CC4C6" w14:textId="77777777" w:rsidR="00AF76C0" w:rsidRDefault="00000000">
            <w:pPr>
              <w:pStyle w:val="Compact"/>
            </w:pPr>
            <w:r>
              <w:t>0.1258</w:t>
            </w:r>
          </w:p>
        </w:tc>
        <w:tc>
          <w:tcPr>
            <w:tcW w:w="0" w:type="auto"/>
          </w:tcPr>
          <w:p w14:paraId="2F65BDF7" w14:textId="77777777" w:rsidR="00AF76C0" w:rsidRDefault="00000000">
            <w:pPr>
              <w:pStyle w:val="Compact"/>
            </w:pPr>
            <w:r>
              <w:t>0.3980</w:t>
            </w:r>
          </w:p>
        </w:tc>
        <w:tc>
          <w:tcPr>
            <w:tcW w:w="0" w:type="auto"/>
          </w:tcPr>
          <w:p w14:paraId="6D3584FE" w14:textId="77777777" w:rsidR="00AF76C0" w:rsidRDefault="00000000">
            <w:pPr>
              <w:pStyle w:val="Compact"/>
            </w:pPr>
            <w:r>
              <w:t>0.903</w:t>
            </w:r>
          </w:p>
        </w:tc>
      </w:tr>
    </w:tbl>
    <w:p w14:paraId="4E5C4FE1" w14:textId="77777777" w:rsidR="00AF76C0" w:rsidRDefault="00000000">
      <w:pPr>
        <w:pStyle w:val="BodyText"/>
      </w:pPr>
      <w:r>
        <w:t>Referring to the Parameter Estimates tab in MetaBayesDTA, logit sensitivity can be read straight off, 0.651, as can its 95% posterior interval. The standard deviation can be estimated by:</w:t>
      </w:r>
    </w:p>
    <w:p w14:paraId="46713810"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A</m:t>
                  </m:r>
                </m:sub>
              </m:sSub>
            </m:e>
          </m:d>
          <m:r>
            <m:rPr>
              <m:sty m:val="p"/>
            </m:rPr>
            <w:rPr>
              <w:rFonts w:ascii="Cambria Math" w:hAnsi="Cambria Math"/>
            </w:rPr>
            <m:t>=</m:t>
          </m:r>
          <m:r>
            <w:rPr>
              <w:rFonts w:ascii="Cambria Math" w:hAnsi="Cambria Math"/>
            </w:rPr>
            <m:t>0.765</m:t>
          </m:r>
          <m:r>
            <m:rPr>
              <m:sty m:val="p"/>
            </m:rPr>
            <w:rPr>
              <w:rFonts w:ascii="Cambria Math" w:hAnsi="Cambria Math"/>
            </w:rPr>
            <m:t>/</m:t>
          </m:r>
          <m:rad>
            <m:radPr>
              <m:degHide m:val="1"/>
              <m:ctrlPr>
                <w:rPr>
                  <w:rFonts w:ascii="Cambria Math" w:hAnsi="Cambria Math"/>
                </w:rPr>
              </m:ctrlPr>
            </m:radPr>
            <m:deg/>
            <m:e>
              <m:r>
                <w:rPr>
                  <w:rFonts w:ascii="Cambria Math" w:hAnsi="Cambria Math"/>
                </w:rPr>
                <m:t>37</m:t>
              </m:r>
            </m:e>
          </m:rad>
          <m:r>
            <m:rPr>
              <m:sty m:val="p"/>
            </m:rPr>
            <w:rPr>
              <w:rFonts w:ascii="Cambria Math" w:hAnsi="Cambria Math"/>
            </w:rPr>
            <m:t>=</m:t>
          </m:r>
          <m:r>
            <w:rPr>
              <w:rFonts w:ascii="Cambria Math" w:hAnsi="Cambria Math"/>
            </w:rPr>
            <m:t>0.1258</m:t>
          </m:r>
        </m:oMath>
      </m:oMathPara>
    </w:p>
    <w:p w14:paraId="0080A90A" w14:textId="77777777" w:rsidR="00AF76C0" w:rsidRDefault="00000000">
      <w:pPr>
        <w:pStyle w:val="FirstParagraph"/>
      </w:pPr>
      <w:r>
        <w:t xml:space="preserve">where 0.765 is </w:t>
      </w:r>
      <m:oMath>
        <m:sSub>
          <m:sSubPr>
            <m:ctrlPr>
              <w:rPr>
                <w:rFonts w:ascii="Cambria Math" w:hAnsi="Cambria Math"/>
              </w:rPr>
            </m:ctrlPr>
          </m:sSubPr>
          <m:e>
            <m:r>
              <w:rPr>
                <w:rFonts w:ascii="Cambria Math" w:hAnsi="Cambria Math"/>
              </w:rPr>
              <m:t>σ</m:t>
            </m:r>
          </m:e>
          <m:sub>
            <m:r>
              <w:rPr>
                <w:rFonts w:ascii="Cambria Math" w:hAnsi="Cambria Math"/>
              </w:rPr>
              <m:t>A</m:t>
            </m:r>
          </m:sub>
        </m:sSub>
      </m:oMath>
      <w:r>
        <w:t xml:space="preserve"> (</w:t>
      </w:r>
      <m:oMath>
        <m:sSub>
          <m:sSubPr>
            <m:ctrlPr>
              <w:rPr>
                <w:rFonts w:ascii="Cambria Math" w:hAnsi="Cambria Math"/>
              </w:rPr>
            </m:ctrlPr>
          </m:sSubPr>
          <m:e>
            <m:r>
              <w:rPr>
                <w:rFonts w:ascii="Cambria Math" w:hAnsi="Cambria Math"/>
              </w:rPr>
              <m:t>σ</m:t>
            </m:r>
          </m:e>
          <m:sub>
            <m:r>
              <w:rPr>
                <w:rFonts w:ascii="Cambria Math" w:hAnsi="Cambria Math"/>
              </w:rPr>
              <m:t>1</m:t>
            </m:r>
          </m:sub>
        </m:sSub>
      </m:oMath>
      <w:r>
        <w:t xml:space="preserve"> in MetaBayesDTA) and 37 is the number of trials.</w:t>
      </w:r>
    </w:p>
    <w:p w14:paraId="62E19556" w14:textId="77777777" w:rsidR="00AF76C0" w:rsidRDefault="00AF76C0">
      <w:pPr>
        <w:pStyle w:val="BodyText"/>
      </w:pPr>
    </w:p>
    <w:p w14:paraId="032AE0A2" w14:textId="77777777" w:rsidR="00AF76C0" w:rsidRDefault="00000000">
      <w:pPr>
        <w:pStyle w:val="Heading3"/>
      </w:pPr>
      <w:bookmarkStart w:id="16" w:name="mean-logit-specificity-mu_b"/>
      <w:bookmarkStart w:id="17" w:name="_Toc153208217"/>
      <w:bookmarkEnd w:id="14"/>
      <w:r>
        <w:rPr>
          <w:rStyle w:val="SectionNumber"/>
        </w:rPr>
        <w:t>2.4.2</w:t>
      </w:r>
      <w:r>
        <w:tab/>
        <w:t>Mean logit specificity (</w:t>
      </w:r>
      <m:oMath>
        <m:sSub>
          <m:sSubPr>
            <m:ctrlPr>
              <w:rPr>
                <w:rFonts w:ascii="Cambria Math" w:hAnsi="Cambria Math"/>
              </w:rPr>
            </m:ctrlPr>
          </m:sSubPr>
          <m:e>
            <m:r>
              <m:rPr>
                <m:sty m:val="bi"/>
              </m:rPr>
              <w:rPr>
                <w:rFonts w:ascii="Cambria Math" w:hAnsi="Cambria Math"/>
              </w:rPr>
              <m:t>μ</m:t>
            </m:r>
          </m:e>
          <m:sub>
            <m:r>
              <m:rPr>
                <m:sty m:val="bi"/>
              </m:rPr>
              <w:rPr>
                <w:rFonts w:ascii="Cambria Math" w:hAnsi="Cambria Math"/>
              </w:rPr>
              <m:t>B</m:t>
            </m:r>
          </m:sub>
        </m:sSub>
      </m:oMath>
      <w:r>
        <w:t>)</w:t>
      </w:r>
      <w:bookmarkEnd w:id="17"/>
    </w:p>
    <w:tbl>
      <w:tblPr>
        <w:tblStyle w:val="Table"/>
        <w:tblW w:w="5000" w:type="pct"/>
        <w:tblLook w:val="0020" w:firstRow="1" w:lastRow="0" w:firstColumn="0" w:lastColumn="0" w:noHBand="0" w:noVBand="0"/>
      </w:tblPr>
      <w:tblGrid>
        <w:gridCol w:w="2387"/>
        <w:gridCol w:w="1127"/>
        <w:gridCol w:w="2181"/>
        <w:gridCol w:w="1950"/>
        <w:gridCol w:w="1931"/>
      </w:tblGrid>
      <w:tr w:rsidR="00AF76C0" w14:paraId="7EC0787B"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1EF8645F" w14:textId="77777777" w:rsidR="00AF76C0" w:rsidRDefault="00AF76C0">
            <w:pPr>
              <w:pStyle w:val="Compact"/>
            </w:pPr>
          </w:p>
        </w:tc>
        <w:tc>
          <w:tcPr>
            <w:tcW w:w="0" w:type="auto"/>
          </w:tcPr>
          <w:p w14:paraId="3A2F48DC" w14:textId="77777777" w:rsidR="00AF76C0" w:rsidRDefault="00000000">
            <w:pPr>
              <w:pStyle w:val="Compact"/>
            </w:pPr>
            <w:r>
              <w:t>Estimate</w:t>
            </w:r>
          </w:p>
        </w:tc>
        <w:tc>
          <w:tcPr>
            <w:tcW w:w="0" w:type="auto"/>
          </w:tcPr>
          <w:p w14:paraId="430B012E" w14:textId="77777777" w:rsidR="00AF76C0" w:rsidRDefault="00000000">
            <w:pPr>
              <w:pStyle w:val="Compact"/>
            </w:pPr>
            <w:r>
              <w:t>Standard deviation</w:t>
            </w:r>
          </w:p>
        </w:tc>
        <w:tc>
          <w:tcPr>
            <w:tcW w:w="0" w:type="auto"/>
          </w:tcPr>
          <w:p w14:paraId="183912B6" w14:textId="77777777" w:rsidR="00AF76C0" w:rsidRDefault="00000000">
            <w:pPr>
              <w:pStyle w:val="Compact"/>
            </w:pPr>
            <w:r>
              <w:t>Lower 95% limit</w:t>
            </w:r>
          </w:p>
        </w:tc>
        <w:tc>
          <w:tcPr>
            <w:tcW w:w="0" w:type="auto"/>
          </w:tcPr>
          <w:p w14:paraId="608F9127" w14:textId="77777777" w:rsidR="00AF76C0" w:rsidRDefault="00000000">
            <w:pPr>
              <w:pStyle w:val="Compact"/>
            </w:pPr>
            <w:r>
              <w:t>Upper 95% limit</w:t>
            </w:r>
          </w:p>
        </w:tc>
      </w:tr>
      <w:tr w:rsidR="00AF76C0" w14:paraId="456723F5" w14:textId="77777777">
        <w:tc>
          <w:tcPr>
            <w:tcW w:w="0" w:type="auto"/>
          </w:tcPr>
          <w:p w14:paraId="38DAF56E" w14:textId="77777777" w:rsidR="00AF76C0" w:rsidRDefault="00000000">
            <w:pPr>
              <w:pStyle w:val="Compact"/>
            </w:pPr>
            <w:r>
              <w:t>Cochrane frequentist</w:t>
            </w:r>
          </w:p>
        </w:tc>
        <w:tc>
          <w:tcPr>
            <w:tcW w:w="0" w:type="auto"/>
          </w:tcPr>
          <w:p w14:paraId="43064245" w14:textId="77777777" w:rsidR="00AF76C0" w:rsidRDefault="00000000">
            <w:pPr>
              <w:pStyle w:val="Compact"/>
            </w:pPr>
            <w:r>
              <w:t>3.1090</w:t>
            </w:r>
          </w:p>
        </w:tc>
        <w:tc>
          <w:tcPr>
            <w:tcW w:w="0" w:type="auto"/>
          </w:tcPr>
          <w:p w14:paraId="62292B94" w14:textId="77777777" w:rsidR="00AF76C0" w:rsidRDefault="00000000">
            <w:pPr>
              <w:pStyle w:val="Compact"/>
            </w:pPr>
            <w:r>
              <w:t>0.1459</w:t>
            </w:r>
          </w:p>
        </w:tc>
        <w:tc>
          <w:tcPr>
            <w:tcW w:w="0" w:type="auto"/>
          </w:tcPr>
          <w:p w14:paraId="6079B6CA" w14:textId="77777777" w:rsidR="00AF76C0" w:rsidRDefault="00000000">
            <w:pPr>
              <w:pStyle w:val="Compact"/>
            </w:pPr>
            <w:r>
              <w:t>NA</w:t>
            </w:r>
          </w:p>
        </w:tc>
        <w:tc>
          <w:tcPr>
            <w:tcW w:w="0" w:type="auto"/>
          </w:tcPr>
          <w:p w14:paraId="38663E0C" w14:textId="77777777" w:rsidR="00AF76C0" w:rsidRDefault="00000000">
            <w:pPr>
              <w:pStyle w:val="Compact"/>
            </w:pPr>
            <w:r>
              <w:t>NA</w:t>
            </w:r>
          </w:p>
        </w:tc>
      </w:tr>
      <w:tr w:rsidR="00AF76C0" w14:paraId="7E64383B" w14:textId="77777777">
        <w:tc>
          <w:tcPr>
            <w:tcW w:w="0" w:type="auto"/>
          </w:tcPr>
          <w:p w14:paraId="20DB406D" w14:textId="77777777" w:rsidR="00AF76C0" w:rsidRDefault="00000000">
            <w:pPr>
              <w:pStyle w:val="Compact"/>
            </w:pPr>
            <w:r>
              <w:t>Cochrane Bayesian</w:t>
            </w:r>
          </w:p>
        </w:tc>
        <w:tc>
          <w:tcPr>
            <w:tcW w:w="0" w:type="auto"/>
          </w:tcPr>
          <w:p w14:paraId="164367F2" w14:textId="77777777" w:rsidR="00AF76C0" w:rsidRDefault="00000000">
            <w:pPr>
              <w:pStyle w:val="Compact"/>
            </w:pPr>
            <w:r>
              <w:t>3.1028</w:t>
            </w:r>
          </w:p>
        </w:tc>
        <w:tc>
          <w:tcPr>
            <w:tcW w:w="0" w:type="auto"/>
          </w:tcPr>
          <w:p w14:paraId="32F77A4B" w14:textId="77777777" w:rsidR="00AF76C0" w:rsidRDefault="00000000">
            <w:pPr>
              <w:pStyle w:val="Compact"/>
            </w:pPr>
            <w:r>
              <w:t>0.1454</w:t>
            </w:r>
          </w:p>
        </w:tc>
        <w:tc>
          <w:tcPr>
            <w:tcW w:w="0" w:type="auto"/>
          </w:tcPr>
          <w:p w14:paraId="5B1B5EBE" w14:textId="77777777" w:rsidR="00AF76C0" w:rsidRDefault="00000000">
            <w:pPr>
              <w:pStyle w:val="Compact"/>
            </w:pPr>
            <w:r>
              <w:t>2.8282</w:t>
            </w:r>
          </w:p>
        </w:tc>
        <w:tc>
          <w:tcPr>
            <w:tcW w:w="0" w:type="auto"/>
          </w:tcPr>
          <w:p w14:paraId="440E9483" w14:textId="77777777" w:rsidR="00AF76C0" w:rsidRDefault="00000000">
            <w:pPr>
              <w:pStyle w:val="Compact"/>
            </w:pPr>
            <w:r>
              <w:t>3.4031</w:t>
            </w:r>
          </w:p>
        </w:tc>
      </w:tr>
      <w:tr w:rsidR="00AF76C0" w14:paraId="6B848B28" w14:textId="77777777">
        <w:tc>
          <w:tcPr>
            <w:tcW w:w="0" w:type="auto"/>
          </w:tcPr>
          <w:p w14:paraId="65CE3D0C" w14:textId="77777777" w:rsidR="00AF76C0" w:rsidRDefault="00000000">
            <w:pPr>
              <w:pStyle w:val="Compact"/>
            </w:pPr>
            <w:r>
              <w:t>MetaBayesDTA</w:t>
            </w:r>
          </w:p>
        </w:tc>
        <w:tc>
          <w:tcPr>
            <w:tcW w:w="0" w:type="auto"/>
          </w:tcPr>
          <w:p w14:paraId="3408DABD" w14:textId="77777777" w:rsidR="00AF76C0" w:rsidRDefault="00000000">
            <w:pPr>
              <w:pStyle w:val="Compact"/>
            </w:pPr>
            <w:r>
              <w:t>3.0820</w:t>
            </w:r>
          </w:p>
        </w:tc>
        <w:tc>
          <w:tcPr>
            <w:tcW w:w="0" w:type="auto"/>
          </w:tcPr>
          <w:p w14:paraId="52BC5548" w14:textId="77777777" w:rsidR="00AF76C0" w:rsidRDefault="00000000">
            <w:pPr>
              <w:pStyle w:val="Compact"/>
            </w:pPr>
            <w:r>
              <w:t>0.1292</w:t>
            </w:r>
          </w:p>
        </w:tc>
        <w:tc>
          <w:tcPr>
            <w:tcW w:w="0" w:type="auto"/>
          </w:tcPr>
          <w:p w14:paraId="1E209615" w14:textId="77777777" w:rsidR="00AF76C0" w:rsidRDefault="00000000">
            <w:pPr>
              <w:pStyle w:val="Compact"/>
            </w:pPr>
            <w:r>
              <w:t>2.8150</w:t>
            </w:r>
          </w:p>
        </w:tc>
        <w:tc>
          <w:tcPr>
            <w:tcW w:w="0" w:type="auto"/>
          </w:tcPr>
          <w:p w14:paraId="632A5ED2" w14:textId="77777777" w:rsidR="00AF76C0" w:rsidRDefault="00000000">
            <w:pPr>
              <w:pStyle w:val="Compact"/>
            </w:pPr>
            <w:r>
              <w:t>3.4050</w:t>
            </w:r>
          </w:p>
        </w:tc>
      </w:tr>
    </w:tbl>
    <w:p w14:paraId="56DB7ACF" w14:textId="77777777" w:rsidR="00AF76C0" w:rsidRDefault="00000000">
      <w:pPr>
        <w:pStyle w:val="BodyText"/>
      </w:pPr>
      <w:r>
        <w:t>Logit specificity can be read straight off, 3.082, as can its 95% posterior interval. The standard deviation can be estimated by:</w:t>
      </w:r>
    </w:p>
    <w:p w14:paraId="3D034C03"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B</m:t>
                  </m:r>
                </m:sub>
              </m:sSub>
            </m:e>
          </m:d>
          <m:r>
            <m:rPr>
              <m:sty m:val="p"/>
            </m:rPr>
            <w:rPr>
              <w:rFonts w:ascii="Cambria Math" w:hAnsi="Cambria Math"/>
            </w:rPr>
            <m:t>=</m:t>
          </m:r>
          <m:r>
            <w:rPr>
              <w:rFonts w:ascii="Cambria Math" w:hAnsi="Cambria Math"/>
            </w:rPr>
            <m:t>0.786</m:t>
          </m:r>
          <m:r>
            <m:rPr>
              <m:sty m:val="p"/>
            </m:rPr>
            <w:rPr>
              <w:rFonts w:ascii="Cambria Math" w:hAnsi="Cambria Math"/>
            </w:rPr>
            <m:t>/</m:t>
          </m:r>
          <m:rad>
            <m:radPr>
              <m:degHide m:val="1"/>
              <m:ctrlPr>
                <w:rPr>
                  <w:rFonts w:ascii="Cambria Math" w:hAnsi="Cambria Math"/>
                </w:rPr>
              </m:ctrlPr>
            </m:radPr>
            <m:deg/>
            <m:e>
              <m:r>
                <w:rPr>
                  <w:rFonts w:ascii="Cambria Math" w:hAnsi="Cambria Math"/>
                </w:rPr>
                <m:t>37</m:t>
              </m:r>
            </m:e>
          </m:rad>
          <m:r>
            <m:rPr>
              <m:sty m:val="p"/>
            </m:rPr>
            <w:rPr>
              <w:rFonts w:ascii="Cambria Math" w:hAnsi="Cambria Math"/>
            </w:rPr>
            <m:t>=</m:t>
          </m:r>
          <m:r>
            <w:rPr>
              <w:rFonts w:ascii="Cambria Math" w:hAnsi="Cambria Math"/>
            </w:rPr>
            <m:t>0.1292</m:t>
          </m:r>
        </m:oMath>
      </m:oMathPara>
    </w:p>
    <w:p w14:paraId="4287EFBF" w14:textId="77777777" w:rsidR="00AF76C0" w:rsidRDefault="00000000">
      <w:pPr>
        <w:pStyle w:val="FirstParagraph"/>
      </w:pPr>
      <w:r>
        <w:t xml:space="preserve">where 0.786 is </w:t>
      </w:r>
      <m:oMath>
        <m:sSub>
          <m:sSubPr>
            <m:ctrlPr>
              <w:rPr>
                <w:rFonts w:ascii="Cambria Math" w:hAnsi="Cambria Math"/>
              </w:rPr>
            </m:ctrlPr>
          </m:sSubPr>
          <m:e>
            <m:r>
              <w:rPr>
                <w:rFonts w:ascii="Cambria Math" w:hAnsi="Cambria Math"/>
              </w:rPr>
              <m:t>σ</m:t>
            </m:r>
          </m:e>
          <m:sub>
            <m:r>
              <w:rPr>
                <w:rFonts w:ascii="Cambria Math" w:hAnsi="Cambria Math"/>
              </w:rPr>
              <m:t>B</m:t>
            </m:r>
          </m:sub>
        </m:sSub>
      </m:oMath>
      <w:r>
        <w:t xml:space="preserve"> (</w:t>
      </w:r>
      <m:oMath>
        <m:sSub>
          <m:sSubPr>
            <m:ctrlPr>
              <w:rPr>
                <w:rFonts w:ascii="Cambria Math" w:hAnsi="Cambria Math"/>
              </w:rPr>
            </m:ctrlPr>
          </m:sSubPr>
          <m:e>
            <m:r>
              <w:rPr>
                <w:rFonts w:ascii="Cambria Math" w:hAnsi="Cambria Math"/>
              </w:rPr>
              <m:t>σ</m:t>
            </m:r>
          </m:e>
          <m:sub>
            <m:r>
              <w:rPr>
                <w:rFonts w:ascii="Cambria Math" w:hAnsi="Cambria Math"/>
              </w:rPr>
              <m:t>0</m:t>
            </m:r>
          </m:sub>
        </m:sSub>
      </m:oMath>
      <w:r>
        <w:t xml:space="preserve"> in MetaBayesDTA) and 37 is the number of trials.</w:t>
      </w:r>
    </w:p>
    <w:p w14:paraId="7405585C" w14:textId="77777777" w:rsidR="00AF76C0" w:rsidRDefault="00AF76C0">
      <w:pPr>
        <w:pStyle w:val="BodyText"/>
      </w:pPr>
    </w:p>
    <w:p w14:paraId="0C1BC9CB" w14:textId="77777777" w:rsidR="00AF76C0" w:rsidRDefault="00000000">
      <w:pPr>
        <w:pStyle w:val="Heading3"/>
      </w:pPr>
      <w:bookmarkStart w:id="18" w:name="X230f63f0a2e9e5905f692394f8d12ae32fc0c20"/>
      <w:bookmarkStart w:id="19" w:name="_Toc153208218"/>
      <w:bookmarkEnd w:id="16"/>
      <w:r>
        <w:rPr>
          <w:rStyle w:val="SectionNumber"/>
        </w:rPr>
        <w:t>2.4.3</w:t>
      </w:r>
      <w:r>
        <w:tab/>
        <w:t>Variance of random effects for logit sensitivity (</w:t>
      </w:r>
      <m:oMath>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A</m:t>
            </m:r>
          </m:sub>
          <m:sup>
            <m:r>
              <m:rPr>
                <m:sty m:val="bi"/>
              </m:rPr>
              <w:rPr>
                <w:rFonts w:ascii="Cambria Math" w:hAnsi="Cambria Math"/>
              </w:rPr>
              <m:t>2</m:t>
            </m:r>
          </m:sup>
        </m:sSubSup>
      </m:oMath>
      <w:r>
        <w:t>)</w:t>
      </w:r>
      <w:bookmarkEnd w:id="19"/>
    </w:p>
    <w:tbl>
      <w:tblPr>
        <w:tblStyle w:val="Table"/>
        <w:tblW w:w="5000" w:type="pct"/>
        <w:tblLook w:val="0020" w:firstRow="1" w:lastRow="0" w:firstColumn="0" w:lastColumn="0" w:noHBand="0" w:noVBand="0"/>
      </w:tblPr>
      <w:tblGrid>
        <w:gridCol w:w="2387"/>
        <w:gridCol w:w="1127"/>
        <w:gridCol w:w="2181"/>
        <w:gridCol w:w="1950"/>
        <w:gridCol w:w="1931"/>
      </w:tblGrid>
      <w:tr w:rsidR="00AF76C0" w14:paraId="67D0C1B4"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21193AB4" w14:textId="77777777" w:rsidR="00AF76C0" w:rsidRDefault="00AF76C0">
            <w:pPr>
              <w:pStyle w:val="Compact"/>
            </w:pPr>
          </w:p>
        </w:tc>
        <w:tc>
          <w:tcPr>
            <w:tcW w:w="0" w:type="auto"/>
          </w:tcPr>
          <w:p w14:paraId="5FEDC994" w14:textId="77777777" w:rsidR="00AF76C0" w:rsidRDefault="00000000">
            <w:pPr>
              <w:pStyle w:val="Compact"/>
            </w:pPr>
            <w:r>
              <w:t>Estimate</w:t>
            </w:r>
          </w:p>
        </w:tc>
        <w:tc>
          <w:tcPr>
            <w:tcW w:w="0" w:type="auto"/>
          </w:tcPr>
          <w:p w14:paraId="405B29D4" w14:textId="77777777" w:rsidR="00AF76C0" w:rsidRDefault="00000000">
            <w:pPr>
              <w:pStyle w:val="Compact"/>
            </w:pPr>
            <w:r>
              <w:t>Standard deviation</w:t>
            </w:r>
          </w:p>
        </w:tc>
        <w:tc>
          <w:tcPr>
            <w:tcW w:w="0" w:type="auto"/>
          </w:tcPr>
          <w:p w14:paraId="0460758C" w14:textId="77777777" w:rsidR="00AF76C0" w:rsidRDefault="00000000">
            <w:pPr>
              <w:pStyle w:val="Compact"/>
            </w:pPr>
            <w:r>
              <w:t>Lower 95% limit</w:t>
            </w:r>
          </w:p>
        </w:tc>
        <w:tc>
          <w:tcPr>
            <w:tcW w:w="0" w:type="auto"/>
          </w:tcPr>
          <w:p w14:paraId="038A32F0" w14:textId="77777777" w:rsidR="00AF76C0" w:rsidRDefault="00000000">
            <w:pPr>
              <w:pStyle w:val="Compact"/>
            </w:pPr>
            <w:r>
              <w:t>Upper 95% limit</w:t>
            </w:r>
          </w:p>
        </w:tc>
      </w:tr>
      <w:tr w:rsidR="00AF76C0" w14:paraId="4CD21145" w14:textId="77777777">
        <w:tc>
          <w:tcPr>
            <w:tcW w:w="0" w:type="auto"/>
          </w:tcPr>
          <w:p w14:paraId="4EA41026" w14:textId="77777777" w:rsidR="00AF76C0" w:rsidRDefault="00000000">
            <w:pPr>
              <w:pStyle w:val="Compact"/>
            </w:pPr>
            <w:r>
              <w:lastRenderedPageBreak/>
              <w:t>Cochrane frequentist</w:t>
            </w:r>
          </w:p>
        </w:tc>
        <w:tc>
          <w:tcPr>
            <w:tcW w:w="0" w:type="auto"/>
          </w:tcPr>
          <w:p w14:paraId="070C6204" w14:textId="77777777" w:rsidR="00AF76C0" w:rsidRDefault="00000000">
            <w:pPr>
              <w:pStyle w:val="Compact"/>
            </w:pPr>
            <w:r>
              <w:t>0.5426</w:t>
            </w:r>
          </w:p>
        </w:tc>
        <w:tc>
          <w:tcPr>
            <w:tcW w:w="0" w:type="auto"/>
          </w:tcPr>
          <w:p w14:paraId="0118EFA0" w14:textId="77777777" w:rsidR="00AF76C0" w:rsidRDefault="00000000">
            <w:pPr>
              <w:pStyle w:val="Compact"/>
            </w:pPr>
            <w:r>
              <w:t>0.1463</w:t>
            </w:r>
          </w:p>
        </w:tc>
        <w:tc>
          <w:tcPr>
            <w:tcW w:w="0" w:type="auto"/>
          </w:tcPr>
          <w:p w14:paraId="34AD7B22" w14:textId="77777777" w:rsidR="00AF76C0" w:rsidRDefault="00000000">
            <w:pPr>
              <w:pStyle w:val="Compact"/>
            </w:pPr>
            <w:r>
              <w:t>NA</w:t>
            </w:r>
          </w:p>
        </w:tc>
        <w:tc>
          <w:tcPr>
            <w:tcW w:w="0" w:type="auto"/>
          </w:tcPr>
          <w:p w14:paraId="7E598F0E" w14:textId="77777777" w:rsidR="00AF76C0" w:rsidRDefault="00000000">
            <w:pPr>
              <w:pStyle w:val="Compact"/>
            </w:pPr>
            <w:r>
              <w:t>NA</w:t>
            </w:r>
          </w:p>
        </w:tc>
      </w:tr>
      <w:tr w:rsidR="00AF76C0" w14:paraId="3C21D117" w14:textId="77777777">
        <w:tc>
          <w:tcPr>
            <w:tcW w:w="0" w:type="auto"/>
          </w:tcPr>
          <w:p w14:paraId="31ED6BFE" w14:textId="77777777" w:rsidR="00AF76C0" w:rsidRDefault="00000000">
            <w:pPr>
              <w:pStyle w:val="Compact"/>
            </w:pPr>
            <w:r>
              <w:t>Cochrane Bayesian</w:t>
            </w:r>
          </w:p>
        </w:tc>
        <w:tc>
          <w:tcPr>
            <w:tcW w:w="0" w:type="auto"/>
          </w:tcPr>
          <w:p w14:paraId="7C54C6A3" w14:textId="77777777" w:rsidR="00AF76C0" w:rsidRDefault="00000000">
            <w:pPr>
              <w:pStyle w:val="Compact"/>
            </w:pPr>
            <w:r>
              <w:t>0.5318</w:t>
            </w:r>
          </w:p>
        </w:tc>
        <w:tc>
          <w:tcPr>
            <w:tcW w:w="0" w:type="auto"/>
          </w:tcPr>
          <w:p w14:paraId="5B555379" w14:textId="77777777" w:rsidR="00AF76C0" w:rsidRDefault="00000000">
            <w:pPr>
              <w:pStyle w:val="Compact"/>
            </w:pPr>
            <w:r>
              <w:t>0.1511</w:t>
            </w:r>
          </w:p>
        </w:tc>
        <w:tc>
          <w:tcPr>
            <w:tcW w:w="0" w:type="auto"/>
          </w:tcPr>
          <w:p w14:paraId="73703753" w14:textId="77777777" w:rsidR="00AF76C0" w:rsidRDefault="00000000">
            <w:pPr>
              <w:pStyle w:val="Compact"/>
            </w:pPr>
            <w:r>
              <w:t>0.3276</w:t>
            </w:r>
          </w:p>
        </w:tc>
        <w:tc>
          <w:tcPr>
            <w:tcW w:w="0" w:type="auto"/>
          </w:tcPr>
          <w:p w14:paraId="33075A59" w14:textId="77777777" w:rsidR="00AF76C0" w:rsidRDefault="00000000">
            <w:pPr>
              <w:pStyle w:val="Compact"/>
            </w:pPr>
            <w:r>
              <w:t>0.9125</w:t>
            </w:r>
          </w:p>
        </w:tc>
      </w:tr>
      <w:tr w:rsidR="00AF76C0" w14:paraId="76D9756B" w14:textId="77777777">
        <w:tc>
          <w:tcPr>
            <w:tcW w:w="0" w:type="auto"/>
          </w:tcPr>
          <w:p w14:paraId="785F2124" w14:textId="77777777" w:rsidR="00AF76C0" w:rsidRDefault="00000000">
            <w:pPr>
              <w:pStyle w:val="Compact"/>
            </w:pPr>
            <w:r>
              <w:t>MetaBayesDTA</w:t>
            </w:r>
          </w:p>
        </w:tc>
        <w:tc>
          <w:tcPr>
            <w:tcW w:w="0" w:type="auto"/>
          </w:tcPr>
          <w:p w14:paraId="74874E59" w14:textId="77777777" w:rsidR="00AF76C0" w:rsidRDefault="00000000">
            <w:pPr>
              <w:pStyle w:val="Compact"/>
            </w:pPr>
            <w:r>
              <w:t>0.5852</w:t>
            </w:r>
          </w:p>
        </w:tc>
        <w:tc>
          <w:tcPr>
            <w:tcW w:w="0" w:type="auto"/>
          </w:tcPr>
          <w:p w14:paraId="05D5984F" w14:textId="77777777" w:rsidR="00AF76C0" w:rsidRDefault="00000000">
            <w:pPr>
              <w:pStyle w:val="Compact"/>
            </w:pPr>
            <w:r>
              <w:t>0.1761</w:t>
            </w:r>
          </w:p>
        </w:tc>
        <w:tc>
          <w:tcPr>
            <w:tcW w:w="0" w:type="auto"/>
          </w:tcPr>
          <w:p w14:paraId="6E40B86F" w14:textId="77777777" w:rsidR="00AF76C0" w:rsidRDefault="00000000">
            <w:pPr>
              <w:pStyle w:val="Compact"/>
            </w:pPr>
            <w:r>
              <w:t>0.3552</w:t>
            </w:r>
          </w:p>
        </w:tc>
        <w:tc>
          <w:tcPr>
            <w:tcW w:w="0" w:type="auto"/>
          </w:tcPr>
          <w:p w14:paraId="43F05AD5" w14:textId="77777777" w:rsidR="00AF76C0" w:rsidRDefault="00000000">
            <w:pPr>
              <w:pStyle w:val="Compact"/>
            </w:pPr>
            <w:r>
              <w:t>1.0000</w:t>
            </w:r>
          </w:p>
        </w:tc>
      </w:tr>
    </w:tbl>
    <w:p w14:paraId="0F7A741F" w14:textId="77777777" w:rsidR="00AF76C0" w:rsidRDefault="00000000">
      <w:pPr>
        <w:pStyle w:val="BodyText"/>
      </w:pPr>
      <w:r>
        <w:t xml:space="preserve">In MetaBayesDTA, between study SD for logit(sensitivity) = 0.765. This is the square root of the variance, so the variance estimate is </w:t>
      </w:r>
      <m:oMath>
        <m:sSup>
          <m:sSupPr>
            <m:ctrlPr>
              <w:rPr>
                <w:rFonts w:ascii="Cambria Math" w:hAnsi="Cambria Math"/>
              </w:rPr>
            </m:ctrlPr>
          </m:sSupPr>
          <m:e>
            <m:r>
              <w:rPr>
                <w:rFonts w:ascii="Cambria Math" w:hAnsi="Cambria Math"/>
              </w:rPr>
              <m:t>0.765</m:t>
            </m:r>
          </m:e>
          <m:sup>
            <m:r>
              <w:rPr>
                <w:rFonts w:ascii="Cambria Math" w:hAnsi="Cambria Math"/>
              </w:rPr>
              <m:t>2</m:t>
            </m:r>
          </m:sup>
        </m:sSup>
        <m:r>
          <m:rPr>
            <m:sty m:val="p"/>
          </m:rPr>
          <w:rPr>
            <w:rFonts w:ascii="Cambria Math" w:hAnsi="Cambria Math"/>
          </w:rPr>
          <m:t>=</m:t>
        </m:r>
        <m:r>
          <w:rPr>
            <w:rFonts w:ascii="Cambria Math" w:hAnsi="Cambria Math"/>
          </w:rPr>
          <m:t>0.5852</m:t>
        </m:r>
      </m:oMath>
      <w:r>
        <w:t>. The posterior interval can be similarly transformed into an interval for the variance:</w:t>
      </w:r>
    </w:p>
    <w:p w14:paraId="67C59277" w14:textId="77777777" w:rsidR="00AF76C0" w:rsidRDefault="00000000">
      <w:pPr>
        <w:pStyle w:val="BodyText"/>
      </w:pPr>
      <m:oMathPara>
        <m:oMathParaPr>
          <m:jc m:val="center"/>
        </m:oMathParaPr>
        <m:oMath>
          <m:d>
            <m:dPr>
              <m:ctrlPr>
                <w:rPr>
                  <w:rFonts w:ascii="Cambria Math" w:hAnsi="Cambria Math"/>
                </w:rPr>
              </m:ctrlPr>
            </m:dPr>
            <m:e>
              <m:sSup>
                <m:sSupPr>
                  <m:ctrlPr>
                    <w:rPr>
                      <w:rFonts w:ascii="Cambria Math" w:hAnsi="Cambria Math"/>
                    </w:rPr>
                  </m:ctrlPr>
                </m:sSupPr>
                <m:e>
                  <m:r>
                    <w:rPr>
                      <w:rFonts w:ascii="Cambria Math" w:hAnsi="Cambria Math"/>
                    </w:rPr>
                    <m:t>0.596</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1.000</m:t>
                  </m:r>
                </m:e>
                <m:sup>
                  <m:r>
                    <w:rPr>
                      <w:rFonts w:ascii="Cambria Math" w:hAnsi="Cambria Math"/>
                    </w:rPr>
                    <m:t>2</m:t>
                  </m:r>
                </m:sup>
              </m:sSup>
            </m:e>
          </m:d>
          <m:r>
            <m:rPr>
              <m:sty m:val="p"/>
            </m:rPr>
            <w:rPr>
              <w:rFonts w:ascii="Cambria Math" w:hAnsi="Cambria Math"/>
            </w:rPr>
            <m:t>=</m:t>
          </m:r>
          <m:d>
            <m:dPr>
              <m:ctrlPr>
                <w:rPr>
                  <w:rFonts w:ascii="Cambria Math" w:hAnsi="Cambria Math"/>
                </w:rPr>
              </m:ctrlPr>
            </m:dPr>
            <m:e>
              <m:r>
                <w:rPr>
                  <w:rFonts w:ascii="Cambria Math" w:hAnsi="Cambria Math"/>
                </w:rPr>
                <m:t>0.355</m:t>
              </m:r>
              <m:r>
                <m:rPr>
                  <m:sty m:val="p"/>
                </m:rPr>
                <w:rPr>
                  <w:rFonts w:ascii="Cambria Math" w:hAnsi="Cambria Math"/>
                </w:rPr>
                <m:t>,</m:t>
              </m:r>
              <m:r>
                <w:rPr>
                  <w:rFonts w:ascii="Cambria Math" w:hAnsi="Cambria Math"/>
                </w:rPr>
                <m:t>1.000</m:t>
              </m:r>
            </m:e>
          </m:d>
          <m:r>
            <m:rPr>
              <m:sty m:val="p"/>
            </m:rPr>
            <w:rPr>
              <w:rFonts w:ascii="Cambria Math" w:hAnsi="Cambria Math"/>
            </w:rPr>
            <m:t>.</m:t>
          </m:r>
        </m:oMath>
      </m:oMathPara>
    </w:p>
    <w:p w14:paraId="2190CAD4" w14:textId="77777777" w:rsidR="00AF76C0" w:rsidRDefault="00000000">
      <w:pPr>
        <w:pStyle w:val="FirstParagraph"/>
      </w:pPr>
      <w:r>
        <w:t xml:space="preserve">The standard deviation of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t xml:space="preserve"> can be estimated from the 95% posterior interval in MetaBayesDTA using the upper limit, 1.000:</w:t>
      </w:r>
    </w:p>
    <w:p w14:paraId="4AC1FA8F"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e>
          </m:d>
          <m:r>
            <m:rPr>
              <m:sty m:val="p"/>
            </m:rPr>
            <w:rPr>
              <w:rFonts w:ascii="Cambria Math" w:hAnsi="Cambria Math"/>
            </w:rPr>
            <m:t>=</m:t>
          </m:r>
          <m:r>
            <w:rPr>
              <w:rFonts w:ascii="Cambria Math" w:hAnsi="Cambria Math"/>
            </w:rPr>
            <m:t>1.000</m:t>
          </m:r>
          <m:r>
            <m:rPr>
              <m:sty m:val="p"/>
            </m:rP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m:t>
              </m:r>
              <m:r>
                <w:rPr>
                  <w:rFonts w:ascii="Cambria Math" w:hAnsi="Cambria Math"/>
                </w:rPr>
                <m:t>36</m:t>
              </m:r>
            </m:e>
          </m:rad>
          <m:r>
            <m:rPr>
              <m:sty m:val="p"/>
            </m:rPr>
            <w:rPr>
              <w:rFonts w:ascii="Cambria Math" w:hAnsi="Cambria Math"/>
            </w:rPr>
            <m:t>×</m:t>
          </m:r>
          <m:r>
            <w:rPr>
              <w:rFonts w:ascii="Cambria Math" w:hAnsi="Cambria Math"/>
            </w:rPr>
            <m:t>21.34</m:t>
          </m:r>
          <m:r>
            <m:rPr>
              <m:sty m:val="p"/>
            </m:rPr>
            <w:rPr>
              <w:rFonts w:ascii="Cambria Math" w:hAnsi="Cambria Math"/>
            </w:rPr>
            <m:t>/</m:t>
          </m:r>
          <m:sSup>
            <m:sSupPr>
              <m:ctrlPr>
                <w:rPr>
                  <w:rFonts w:ascii="Cambria Math" w:hAnsi="Cambria Math"/>
                </w:rPr>
              </m:ctrlPr>
            </m:sSupPr>
            <m:e>
              <m:r>
                <w:rPr>
                  <w:rFonts w:ascii="Cambria Math" w:hAnsi="Cambria Math"/>
                </w:rPr>
                <m:t>36</m:t>
              </m:r>
            </m:e>
            <m:sup>
              <m:r>
                <w:rPr>
                  <w:rFonts w:ascii="Cambria Math" w:hAnsi="Cambria Math"/>
                </w:rPr>
                <m:t>2</m:t>
              </m:r>
            </m:sup>
          </m:sSup>
          <m:r>
            <m:rPr>
              <m:sty m:val="p"/>
            </m:rPr>
            <w:rPr>
              <w:rFonts w:ascii="Cambria Math" w:hAnsi="Cambria Math"/>
            </w:rPr>
            <m:t>=</m:t>
          </m:r>
          <m:r>
            <w:rPr>
              <w:rFonts w:ascii="Cambria Math" w:hAnsi="Cambria Math"/>
            </w:rPr>
            <m:t>0.140</m:t>
          </m:r>
          <m:r>
            <m:rPr>
              <m:sty m:val="p"/>
            </m:rPr>
            <w:rPr>
              <w:rFonts w:ascii="Cambria Math" w:hAnsi="Cambria Math"/>
            </w:rPr>
            <m:t>.</m:t>
          </m:r>
        </m:oMath>
      </m:oMathPara>
    </w:p>
    <w:p w14:paraId="0EB62E19" w14:textId="77777777" w:rsidR="00AF76C0" w:rsidRDefault="00000000">
      <w:pPr>
        <w:pStyle w:val="FirstParagraph"/>
      </w:pPr>
      <w:r>
        <w:t xml:space="preserve">Here 36 is the number of trials minus 1, and 21.34 is the 2.5% quantile of the </w:t>
      </w:r>
      <m:oMath>
        <m:sSubSup>
          <m:sSubSupPr>
            <m:ctrlPr>
              <w:rPr>
                <w:rFonts w:ascii="Cambria Math" w:hAnsi="Cambria Math"/>
              </w:rPr>
            </m:ctrlPr>
          </m:sSubSupPr>
          <m:e>
            <m:r>
              <w:rPr>
                <w:rFonts w:ascii="Cambria Math" w:hAnsi="Cambria Math"/>
              </w:rPr>
              <m:t>χ</m:t>
            </m:r>
          </m:e>
          <m:sub>
            <m:r>
              <w:rPr>
                <w:rFonts w:ascii="Cambria Math" w:hAnsi="Cambria Math"/>
              </w:rPr>
              <m:t>36</m:t>
            </m:r>
          </m:sub>
          <m:sup>
            <m:r>
              <w:rPr>
                <w:rFonts w:ascii="Cambria Math" w:hAnsi="Cambria Math"/>
              </w:rPr>
              <m:t>2</m:t>
            </m:r>
          </m:sup>
        </m:sSubSup>
      </m:oMath>
      <w:r>
        <w:t xml:space="preserve"> distribution.</w:t>
      </w:r>
    </w:p>
    <w:p w14:paraId="7E132901" w14:textId="77777777" w:rsidR="00AF76C0" w:rsidRDefault="00000000">
      <w:pPr>
        <w:pStyle w:val="BodyText"/>
      </w:pPr>
      <w:r>
        <w:t>Similarly, using the lower limit, 0.596:</w:t>
      </w:r>
    </w:p>
    <w:p w14:paraId="401906D8"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e>
          </m:d>
          <m:r>
            <m:rPr>
              <m:sty m:val="p"/>
            </m:rPr>
            <w:rPr>
              <w:rFonts w:ascii="Cambria Math" w:hAnsi="Cambria Math"/>
            </w:rPr>
            <m:t>=</m:t>
          </m:r>
          <m:r>
            <w:rPr>
              <w:rFonts w:ascii="Cambria Math" w:hAnsi="Cambria Math"/>
            </w:rPr>
            <m:t>0.596</m:t>
          </m:r>
          <m:r>
            <m:rPr>
              <m:sty m:val="p"/>
            </m:rP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m:t>
              </m:r>
              <m:r>
                <w:rPr>
                  <w:rFonts w:ascii="Cambria Math" w:hAnsi="Cambria Math"/>
                </w:rPr>
                <m:t>36</m:t>
              </m:r>
            </m:e>
          </m:rad>
          <m:r>
            <m:rPr>
              <m:sty m:val="p"/>
            </m:rPr>
            <w:rPr>
              <w:rFonts w:ascii="Cambria Math" w:hAnsi="Cambria Math"/>
            </w:rPr>
            <m:t>×</m:t>
          </m:r>
          <m:r>
            <w:rPr>
              <w:rFonts w:ascii="Cambria Math" w:hAnsi="Cambria Math"/>
            </w:rPr>
            <m:t>54.44</m:t>
          </m:r>
          <m:r>
            <m:rPr>
              <m:sty m:val="p"/>
            </m:rPr>
            <w:rPr>
              <w:rFonts w:ascii="Cambria Math" w:hAnsi="Cambria Math"/>
            </w:rPr>
            <m:t>/</m:t>
          </m:r>
          <m:sSup>
            <m:sSupPr>
              <m:ctrlPr>
                <w:rPr>
                  <w:rFonts w:ascii="Cambria Math" w:hAnsi="Cambria Math"/>
                </w:rPr>
              </m:ctrlPr>
            </m:sSupPr>
            <m:e>
              <m:r>
                <w:rPr>
                  <w:rFonts w:ascii="Cambria Math" w:hAnsi="Cambria Math"/>
                </w:rPr>
                <m:t>36</m:t>
              </m:r>
            </m:e>
            <m:sup>
              <m:r>
                <w:rPr>
                  <w:rFonts w:ascii="Cambria Math" w:hAnsi="Cambria Math"/>
                </w:rPr>
                <m:t>2</m:t>
              </m:r>
            </m:sup>
          </m:sSup>
          <m:r>
            <m:rPr>
              <m:sty m:val="p"/>
            </m:rPr>
            <w:rPr>
              <w:rFonts w:ascii="Cambria Math" w:hAnsi="Cambria Math"/>
            </w:rPr>
            <m:t>=</m:t>
          </m:r>
          <m:r>
            <w:rPr>
              <w:rFonts w:ascii="Cambria Math" w:hAnsi="Cambria Math"/>
            </w:rPr>
            <m:t>0.212</m:t>
          </m:r>
        </m:oMath>
      </m:oMathPara>
    </w:p>
    <w:p w14:paraId="1B28737F" w14:textId="77777777" w:rsidR="00AF76C0" w:rsidRDefault="00000000">
      <w:pPr>
        <w:pStyle w:val="FirstParagraph"/>
      </w:pPr>
      <w:r>
        <w:t xml:space="preserve">where 54.44 is the 97.5% quantile of the </w:t>
      </w:r>
      <m:oMath>
        <m:sSubSup>
          <m:sSubSupPr>
            <m:ctrlPr>
              <w:rPr>
                <w:rFonts w:ascii="Cambria Math" w:hAnsi="Cambria Math"/>
              </w:rPr>
            </m:ctrlPr>
          </m:sSubSupPr>
          <m:e>
            <m:r>
              <w:rPr>
                <w:rFonts w:ascii="Cambria Math" w:hAnsi="Cambria Math"/>
              </w:rPr>
              <m:t>χ</m:t>
            </m:r>
          </m:e>
          <m:sub>
            <m:r>
              <w:rPr>
                <w:rFonts w:ascii="Cambria Math" w:hAnsi="Cambria Math"/>
              </w:rPr>
              <m:t>36</m:t>
            </m:r>
          </m:sub>
          <m:sup>
            <m:r>
              <w:rPr>
                <w:rFonts w:ascii="Cambria Math" w:hAnsi="Cambria Math"/>
              </w:rPr>
              <m:t>2</m:t>
            </m:r>
          </m:sup>
        </m:sSubSup>
      </m:oMath>
      <w:r>
        <w:t xml:space="preserve"> distribution. There is a large discrepancy in these two estimates. This implies that the posterior distribution does not have the Chi-squared distribution that would be assumed in a frequentist model. It appears that the estimate using the lower limit is better, but in practice one may not have another estimate to compare against. Therefore, without access to the posterior distribution itself, the mean of the two estimates can be used as the overall estimate:</w:t>
      </w:r>
    </w:p>
    <w:p w14:paraId="79E39F9B"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e>
          </m:d>
          <m:r>
            <m:rPr>
              <m:sty m:val="p"/>
            </m:rPr>
            <w:rPr>
              <w:rFonts w:ascii="Cambria Math" w:hAnsi="Cambria Math"/>
            </w:rPr>
            <m:t>=</m:t>
          </m:r>
          <m:d>
            <m:dPr>
              <m:ctrlPr>
                <w:rPr>
                  <w:rFonts w:ascii="Cambria Math" w:hAnsi="Cambria Math"/>
                </w:rPr>
              </m:ctrlPr>
            </m:dPr>
            <m:e>
              <m:r>
                <w:rPr>
                  <w:rFonts w:ascii="Cambria Math" w:hAnsi="Cambria Math"/>
                </w:rPr>
                <m:t>0.140</m:t>
              </m:r>
              <m:r>
                <m:rPr>
                  <m:sty m:val="p"/>
                </m:rPr>
                <w:rPr>
                  <w:rFonts w:ascii="Cambria Math" w:hAnsi="Cambria Math"/>
                </w:rPr>
                <m:t>+</m:t>
              </m:r>
              <m:r>
                <w:rPr>
                  <w:rFonts w:ascii="Cambria Math" w:hAnsi="Cambria Math"/>
                </w:rPr>
                <m:t>0.212</m:t>
              </m:r>
            </m:e>
          </m:d>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0.176</m:t>
          </m:r>
          <m:r>
            <m:rPr>
              <m:sty m:val="p"/>
            </m:rPr>
            <w:rPr>
              <w:rFonts w:ascii="Cambria Math" w:hAnsi="Cambria Math"/>
            </w:rPr>
            <m:t>.</m:t>
          </m:r>
        </m:oMath>
      </m:oMathPara>
    </w:p>
    <w:p w14:paraId="2C6F00A9" w14:textId="77777777" w:rsidR="00AF76C0" w:rsidRDefault="00AF76C0">
      <w:pPr>
        <w:pStyle w:val="FirstParagraph"/>
      </w:pPr>
    </w:p>
    <w:p w14:paraId="397916E8" w14:textId="77777777" w:rsidR="00AF76C0" w:rsidRDefault="00000000">
      <w:pPr>
        <w:pStyle w:val="Heading3"/>
      </w:pPr>
      <w:bookmarkStart w:id="20" w:name="Xb7516f19b2add903059b2b99569d6110748fdf1"/>
      <w:bookmarkStart w:id="21" w:name="_Toc153208219"/>
      <w:bookmarkEnd w:id="18"/>
      <w:r>
        <w:rPr>
          <w:rStyle w:val="SectionNumber"/>
        </w:rPr>
        <w:t>2.4.4</w:t>
      </w:r>
      <w:r>
        <w:tab/>
        <w:t>Variance of random effects for logit specificity (</w:t>
      </w:r>
      <m:oMath>
        <m:sSubSup>
          <m:sSubSupPr>
            <m:ctrlPr>
              <w:rPr>
                <w:rFonts w:ascii="Cambria Math" w:hAnsi="Cambria Math"/>
              </w:rPr>
            </m:ctrlPr>
          </m:sSubSupPr>
          <m:e>
            <m:r>
              <m:rPr>
                <m:sty m:val="bi"/>
              </m:rPr>
              <w:rPr>
                <w:rFonts w:ascii="Cambria Math" w:hAnsi="Cambria Math"/>
              </w:rPr>
              <m:t>σ</m:t>
            </m:r>
          </m:e>
          <m:sub>
            <m:r>
              <m:rPr>
                <m:sty m:val="bi"/>
              </m:rPr>
              <w:rPr>
                <w:rFonts w:ascii="Cambria Math" w:hAnsi="Cambria Math"/>
              </w:rPr>
              <m:t>B</m:t>
            </m:r>
          </m:sub>
          <m:sup>
            <m:r>
              <m:rPr>
                <m:sty m:val="bi"/>
              </m:rPr>
              <w:rPr>
                <w:rFonts w:ascii="Cambria Math" w:hAnsi="Cambria Math"/>
              </w:rPr>
              <m:t>2</m:t>
            </m:r>
          </m:sup>
        </m:sSubSup>
      </m:oMath>
      <w:r>
        <w:t>)</w:t>
      </w:r>
      <w:bookmarkEnd w:id="21"/>
    </w:p>
    <w:tbl>
      <w:tblPr>
        <w:tblStyle w:val="Table"/>
        <w:tblW w:w="5000" w:type="pct"/>
        <w:tblLook w:val="0020" w:firstRow="1" w:lastRow="0" w:firstColumn="0" w:lastColumn="0" w:noHBand="0" w:noVBand="0"/>
      </w:tblPr>
      <w:tblGrid>
        <w:gridCol w:w="2387"/>
        <w:gridCol w:w="1127"/>
        <w:gridCol w:w="2181"/>
        <w:gridCol w:w="1950"/>
        <w:gridCol w:w="1931"/>
      </w:tblGrid>
      <w:tr w:rsidR="00AF76C0" w14:paraId="39003F2C"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75708F01" w14:textId="77777777" w:rsidR="00AF76C0" w:rsidRDefault="00AF76C0">
            <w:pPr>
              <w:pStyle w:val="Compact"/>
            </w:pPr>
          </w:p>
        </w:tc>
        <w:tc>
          <w:tcPr>
            <w:tcW w:w="0" w:type="auto"/>
          </w:tcPr>
          <w:p w14:paraId="7A2B1990" w14:textId="77777777" w:rsidR="00AF76C0" w:rsidRDefault="00000000">
            <w:pPr>
              <w:pStyle w:val="Compact"/>
            </w:pPr>
            <w:r>
              <w:t>Estimate</w:t>
            </w:r>
          </w:p>
        </w:tc>
        <w:tc>
          <w:tcPr>
            <w:tcW w:w="0" w:type="auto"/>
          </w:tcPr>
          <w:p w14:paraId="6280A16C" w14:textId="77777777" w:rsidR="00AF76C0" w:rsidRDefault="00000000">
            <w:pPr>
              <w:pStyle w:val="Compact"/>
            </w:pPr>
            <w:r>
              <w:t>Standard deviation</w:t>
            </w:r>
          </w:p>
        </w:tc>
        <w:tc>
          <w:tcPr>
            <w:tcW w:w="0" w:type="auto"/>
          </w:tcPr>
          <w:p w14:paraId="7BBD8CAA" w14:textId="77777777" w:rsidR="00AF76C0" w:rsidRDefault="00000000">
            <w:pPr>
              <w:pStyle w:val="Compact"/>
            </w:pPr>
            <w:r>
              <w:t>Lower 95% limit</w:t>
            </w:r>
          </w:p>
        </w:tc>
        <w:tc>
          <w:tcPr>
            <w:tcW w:w="0" w:type="auto"/>
          </w:tcPr>
          <w:p w14:paraId="31CA4D32" w14:textId="77777777" w:rsidR="00AF76C0" w:rsidRDefault="00000000">
            <w:pPr>
              <w:pStyle w:val="Compact"/>
            </w:pPr>
            <w:r>
              <w:t>Upper 95% limit</w:t>
            </w:r>
          </w:p>
        </w:tc>
      </w:tr>
      <w:tr w:rsidR="00AF76C0" w14:paraId="72E8FC73" w14:textId="77777777">
        <w:tc>
          <w:tcPr>
            <w:tcW w:w="0" w:type="auto"/>
          </w:tcPr>
          <w:p w14:paraId="598443D0" w14:textId="77777777" w:rsidR="00AF76C0" w:rsidRDefault="00000000">
            <w:pPr>
              <w:pStyle w:val="Compact"/>
            </w:pPr>
            <w:r>
              <w:t>Cochrane frequentist</w:t>
            </w:r>
          </w:p>
        </w:tc>
        <w:tc>
          <w:tcPr>
            <w:tcW w:w="0" w:type="auto"/>
          </w:tcPr>
          <w:p w14:paraId="422A71AE" w14:textId="77777777" w:rsidR="00AF76C0" w:rsidRDefault="00000000">
            <w:pPr>
              <w:pStyle w:val="Compact"/>
            </w:pPr>
            <w:r>
              <w:t>0.5717</w:t>
            </w:r>
          </w:p>
        </w:tc>
        <w:tc>
          <w:tcPr>
            <w:tcW w:w="0" w:type="auto"/>
          </w:tcPr>
          <w:p w14:paraId="7158085C" w14:textId="77777777" w:rsidR="00AF76C0" w:rsidRDefault="00000000">
            <w:pPr>
              <w:pStyle w:val="Compact"/>
            </w:pPr>
            <w:r>
              <w:t>0.1873</w:t>
            </w:r>
          </w:p>
        </w:tc>
        <w:tc>
          <w:tcPr>
            <w:tcW w:w="0" w:type="auto"/>
          </w:tcPr>
          <w:p w14:paraId="59459DB1" w14:textId="77777777" w:rsidR="00AF76C0" w:rsidRDefault="00000000">
            <w:pPr>
              <w:pStyle w:val="Compact"/>
            </w:pPr>
            <w:r>
              <w:t>NA</w:t>
            </w:r>
          </w:p>
        </w:tc>
        <w:tc>
          <w:tcPr>
            <w:tcW w:w="0" w:type="auto"/>
          </w:tcPr>
          <w:p w14:paraId="5EBF7B45" w14:textId="77777777" w:rsidR="00AF76C0" w:rsidRDefault="00000000">
            <w:pPr>
              <w:pStyle w:val="Compact"/>
            </w:pPr>
            <w:r>
              <w:t>NA</w:t>
            </w:r>
          </w:p>
        </w:tc>
      </w:tr>
      <w:tr w:rsidR="00AF76C0" w14:paraId="05D48853" w14:textId="77777777">
        <w:tc>
          <w:tcPr>
            <w:tcW w:w="0" w:type="auto"/>
          </w:tcPr>
          <w:p w14:paraId="6F29C7AD" w14:textId="77777777" w:rsidR="00AF76C0" w:rsidRDefault="00000000">
            <w:pPr>
              <w:pStyle w:val="Compact"/>
            </w:pPr>
            <w:r>
              <w:t>Cochrane Bayesian</w:t>
            </w:r>
          </w:p>
        </w:tc>
        <w:tc>
          <w:tcPr>
            <w:tcW w:w="0" w:type="auto"/>
          </w:tcPr>
          <w:p w14:paraId="30DE3A73" w14:textId="77777777" w:rsidR="00AF76C0" w:rsidRDefault="00000000">
            <w:pPr>
              <w:pStyle w:val="Compact"/>
            </w:pPr>
            <w:r>
              <w:t>0.54</w:t>
            </w:r>
          </w:p>
        </w:tc>
        <w:tc>
          <w:tcPr>
            <w:tcW w:w="0" w:type="auto"/>
          </w:tcPr>
          <w:p w14:paraId="58751854" w14:textId="77777777" w:rsidR="00AF76C0" w:rsidRDefault="00000000">
            <w:pPr>
              <w:pStyle w:val="Compact"/>
            </w:pPr>
            <w:r>
              <w:t>0.1867</w:t>
            </w:r>
          </w:p>
        </w:tc>
        <w:tc>
          <w:tcPr>
            <w:tcW w:w="0" w:type="auto"/>
          </w:tcPr>
          <w:p w14:paraId="1F334475" w14:textId="77777777" w:rsidR="00AF76C0" w:rsidRDefault="00000000">
            <w:pPr>
              <w:pStyle w:val="Compact"/>
            </w:pPr>
            <w:r>
              <w:t>0.2907</w:t>
            </w:r>
          </w:p>
        </w:tc>
        <w:tc>
          <w:tcPr>
            <w:tcW w:w="0" w:type="auto"/>
          </w:tcPr>
          <w:p w14:paraId="0CD5EC3D" w14:textId="77777777" w:rsidR="00AF76C0" w:rsidRDefault="00000000">
            <w:pPr>
              <w:pStyle w:val="Compact"/>
            </w:pPr>
            <w:r>
              <w:t>1.0138</w:t>
            </w:r>
          </w:p>
        </w:tc>
      </w:tr>
      <w:tr w:rsidR="00AF76C0" w14:paraId="73FB8BD6" w14:textId="77777777">
        <w:tc>
          <w:tcPr>
            <w:tcW w:w="0" w:type="auto"/>
          </w:tcPr>
          <w:p w14:paraId="457E996A" w14:textId="77777777" w:rsidR="00AF76C0" w:rsidRDefault="00000000">
            <w:pPr>
              <w:pStyle w:val="Compact"/>
            </w:pPr>
            <w:r>
              <w:t>MetaBayesDTA</w:t>
            </w:r>
          </w:p>
        </w:tc>
        <w:tc>
          <w:tcPr>
            <w:tcW w:w="0" w:type="auto"/>
          </w:tcPr>
          <w:p w14:paraId="24D0595E" w14:textId="77777777" w:rsidR="00AF76C0" w:rsidRDefault="00000000">
            <w:pPr>
              <w:pStyle w:val="Compact"/>
            </w:pPr>
            <w:r>
              <w:t>0.6178</w:t>
            </w:r>
          </w:p>
        </w:tc>
        <w:tc>
          <w:tcPr>
            <w:tcW w:w="0" w:type="auto"/>
          </w:tcPr>
          <w:p w14:paraId="6801272A" w14:textId="77777777" w:rsidR="00AF76C0" w:rsidRDefault="00000000">
            <w:pPr>
              <w:pStyle w:val="Compact"/>
            </w:pPr>
            <w:r>
              <w:t>0.1795</w:t>
            </w:r>
          </w:p>
        </w:tc>
        <w:tc>
          <w:tcPr>
            <w:tcW w:w="0" w:type="auto"/>
          </w:tcPr>
          <w:p w14:paraId="0F48630F" w14:textId="77777777" w:rsidR="00AF76C0" w:rsidRDefault="00000000">
            <w:pPr>
              <w:pStyle w:val="Compact"/>
            </w:pPr>
            <w:r>
              <w:t>0.3352</w:t>
            </w:r>
          </w:p>
        </w:tc>
        <w:tc>
          <w:tcPr>
            <w:tcW w:w="0" w:type="auto"/>
          </w:tcPr>
          <w:p w14:paraId="670CE008" w14:textId="77777777" w:rsidR="00AF76C0" w:rsidRDefault="00000000">
            <w:pPr>
              <w:pStyle w:val="Compact"/>
            </w:pPr>
            <w:r>
              <w:t>1.192</w:t>
            </w:r>
          </w:p>
        </w:tc>
      </w:tr>
    </w:tbl>
    <w:p w14:paraId="14309764" w14:textId="77777777" w:rsidR="00AF76C0" w:rsidRDefault="00000000">
      <w:pPr>
        <w:pStyle w:val="BodyText"/>
      </w:pPr>
      <w:r>
        <w:t xml:space="preserve">In MetaBayesDTA, between study SD for logit(specificity) = 0.786. This is the square root of the variance, so the variance estimate is </w:t>
      </w:r>
      <m:oMath>
        <m:sSup>
          <m:sSupPr>
            <m:ctrlPr>
              <w:rPr>
                <w:rFonts w:ascii="Cambria Math" w:hAnsi="Cambria Math"/>
              </w:rPr>
            </m:ctrlPr>
          </m:sSupPr>
          <m:e>
            <m:r>
              <w:rPr>
                <w:rFonts w:ascii="Cambria Math" w:hAnsi="Cambria Math"/>
              </w:rPr>
              <m:t>0.786</m:t>
            </m:r>
          </m:e>
          <m:sup>
            <m:r>
              <w:rPr>
                <w:rFonts w:ascii="Cambria Math" w:hAnsi="Cambria Math"/>
              </w:rPr>
              <m:t>2</m:t>
            </m:r>
          </m:sup>
        </m:sSup>
        <m:r>
          <m:rPr>
            <m:sty m:val="p"/>
          </m:rPr>
          <w:rPr>
            <w:rFonts w:ascii="Cambria Math" w:hAnsi="Cambria Math"/>
          </w:rPr>
          <m:t>=</m:t>
        </m:r>
        <m:r>
          <w:rPr>
            <w:rFonts w:ascii="Cambria Math" w:hAnsi="Cambria Math"/>
          </w:rPr>
          <m:t>0.6178</m:t>
        </m:r>
      </m:oMath>
      <w:r>
        <w:t>. The posterior interval can be similarly transformed into an interval for the variance:</w:t>
      </w:r>
    </w:p>
    <w:p w14:paraId="272C9A8A" w14:textId="77777777" w:rsidR="00AF76C0" w:rsidRDefault="00000000">
      <w:pPr>
        <w:pStyle w:val="BodyText"/>
      </w:pPr>
      <m:oMathPara>
        <m:oMathParaPr>
          <m:jc m:val="center"/>
        </m:oMathParaPr>
        <m:oMath>
          <m:d>
            <m:dPr>
              <m:ctrlPr>
                <w:rPr>
                  <w:rFonts w:ascii="Cambria Math" w:hAnsi="Cambria Math"/>
                </w:rPr>
              </m:ctrlPr>
            </m:dPr>
            <m:e>
              <m:sSup>
                <m:sSupPr>
                  <m:ctrlPr>
                    <w:rPr>
                      <w:rFonts w:ascii="Cambria Math" w:hAnsi="Cambria Math"/>
                    </w:rPr>
                  </m:ctrlPr>
                </m:sSupPr>
                <m:e>
                  <m:r>
                    <w:rPr>
                      <w:rFonts w:ascii="Cambria Math" w:hAnsi="Cambria Math"/>
                    </w:rPr>
                    <m:t>0.579</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1.092</m:t>
                  </m:r>
                </m:e>
                <m:sup>
                  <m:r>
                    <w:rPr>
                      <w:rFonts w:ascii="Cambria Math" w:hAnsi="Cambria Math"/>
                    </w:rPr>
                    <m:t>2</m:t>
                  </m:r>
                </m:sup>
              </m:sSup>
            </m:e>
          </m:d>
          <m:r>
            <m:rPr>
              <m:sty m:val="p"/>
            </m:rPr>
            <w:rPr>
              <w:rFonts w:ascii="Cambria Math" w:hAnsi="Cambria Math"/>
            </w:rPr>
            <m:t>=</m:t>
          </m:r>
          <m:d>
            <m:dPr>
              <m:ctrlPr>
                <w:rPr>
                  <w:rFonts w:ascii="Cambria Math" w:hAnsi="Cambria Math"/>
                </w:rPr>
              </m:ctrlPr>
            </m:dPr>
            <m:e>
              <m:r>
                <w:rPr>
                  <w:rFonts w:ascii="Cambria Math" w:hAnsi="Cambria Math"/>
                </w:rPr>
                <m:t>0.335</m:t>
              </m:r>
              <m:r>
                <m:rPr>
                  <m:sty m:val="p"/>
                </m:rPr>
                <w:rPr>
                  <w:rFonts w:ascii="Cambria Math" w:hAnsi="Cambria Math"/>
                </w:rPr>
                <m:t>,</m:t>
              </m:r>
              <m:r>
                <w:rPr>
                  <w:rFonts w:ascii="Cambria Math" w:hAnsi="Cambria Math"/>
                </w:rPr>
                <m:t>1.192</m:t>
              </m:r>
            </m:e>
          </m:d>
          <m:r>
            <m:rPr>
              <m:sty m:val="p"/>
            </m:rPr>
            <w:rPr>
              <w:rFonts w:ascii="Cambria Math" w:hAnsi="Cambria Math"/>
            </w:rPr>
            <m:t>.</m:t>
          </m:r>
        </m:oMath>
      </m:oMathPara>
    </w:p>
    <w:p w14:paraId="75317759" w14:textId="77777777" w:rsidR="00AF76C0" w:rsidRDefault="00000000">
      <w:pPr>
        <w:pStyle w:val="FirstParagraph"/>
      </w:pPr>
      <w:r>
        <w:t xml:space="preserve">The standard deviation of </w:t>
      </w:r>
      <m:oMath>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oMath>
      <w:r>
        <w:t xml:space="preserve"> can be estimated from the 95% posterior interval using the upper limit, 1.092:</w:t>
      </w:r>
    </w:p>
    <w:p w14:paraId="05BC7BA9" w14:textId="77777777" w:rsidR="00AF76C0" w:rsidRDefault="00000000">
      <w:pPr>
        <w:pStyle w:val="BodyText"/>
      </w:pPr>
      <m:oMathPara>
        <m:oMathParaPr>
          <m:jc m:val="center"/>
        </m:oMathParaPr>
        <m:oMath>
          <m:r>
            <w:rPr>
              <w:rFonts w:ascii="Cambria Math" w:hAnsi="Cambria Math"/>
            </w:rPr>
            <w:lastRenderedPageBreak/>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e>
          </m:d>
          <m:r>
            <m:rPr>
              <m:sty m:val="p"/>
            </m:rPr>
            <w:rPr>
              <w:rFonts w:ascii="Cambria Math" w:hAnsi="Cambria Math"/>
            </w:rPr>
            <m:t>=</m:t>
          </m:r>
          <m:r>
            <w:rPr>
              <w:rFonts w:ascii="Cambria Math" w:hAnsi="Cambria Math"/>
            </w:rPr>
            <m:t>1.092</m:t>
          </m:r>
          <m:r>
            <m:rPr>
              <m:sty m:val="p"/>
            </m:rP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m:t>
              </m:r>
              <m:r>
                <w:rPr>
                  <w:rFonts w:ascii="Cambria Math" w:hAnsi="Cambria Math"/>
                </w:rPr>
                <m:t>36</m:t>
              </m:r>
            </m:e>
          </m:rad>
          <m:r>
            <m:rPr>
              <m:sty m:val="p"/>
            </m:rPr>
            <w:rPr>
              <w:rFonts w:ascii="Cambria Math" w:hAnsi="Cambria Math"/>
            </w:rPr>
            <m:t>×</m:t>
          </m:r>
          <m:r>
            <w:rPr>
              <w:rFonts w:ascii="Cambria Math" w:hAnsi="Cambria Math"/>
            </w:rPr>
            <m:t>21.34</m:t>
          </m:r>
          <m:r>
            <m:rPr>
              <m:sty m:val="p"/>
            </m:rPr>
            <w:rPr>
              <w:rFonts w:ascii="Cambria Math" w:hAnsi="Cambria Math"/>
            </w:rPr>
            <m:t>/</m:t>
          </m:r>
          <m:sSup>
            <m:sSupPr>
              <m:ctrlPr>
                <w:rPr>
                  <w:rFonts w:ascii="Cambria Math" w:hAnsi="Cambria Math"/>
                </w:rPr>
              </m:ctrlPr>
            </m:sSupPr>
            <m:e>
              <m:r>
                <w:rPr>
                  <w:rFonts w:ascii="Cambria Math" w:hAnsi="Cambria Math"/>
                </w:rPr>
                <m:t>36</m:t>
              </m:r>
            </m:e>
            <m:sup>
              <m:r>
                <w:rPr>
                  <w:rFonts w:ascii="Cambria Math" w:hAnsi="Cambria Math"/>
                </w:rPr>
                <m:t>2</m:t>
              </m:r>
            </m:sup>
          </m:sSup>
          <m:r>
            <m:rPr>
              <m:sty m:val="p"/>
            </m:rPr>
            <w:rPr>
              <w:rFonts w:ascii="Cambria Math" w:hAnsi="Cambria Math"/>
            </w:rPr>
            <m:t>=</m:t>
          </m:r>
          <m:r>
            <w:rPr>
              <w:rFonts w:ascii="Cambria Math" w:hAnsi="Cambria Math"/>
            </w:rPr>
            <m:t>0.153</m:t>
          </m:r>
        </m:oMath>
      </m:oMathPara>
    </w:p>
    <w:p w14:paraId="2AE0AC48" w14:textId="77777777" w:rsidR="00AF76C0" w:rsidRDefault="00000000">
      <w:pPr>
        <w:pStyle w:val="FirstParagraph"/>
      </w:pPr>
      <w:r>
        <w:t>and the lower limit, 0.579:</w:t>
      </w:r>
    </w:p>
    <w:p w14:paraId="083E0E3E"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e>
          </m:d>
          <m:r>
            <m:rPr>
              <m:sty m:val="p"/>
            </m:rPr>
            <w:rPr>
              <w:rFonts w:ascii="Cambria Math" w:hAnsi="Cambria Math"/>
            </w:rPr>
            <m:t>=</m:t>
          </m:r>
          <m:r>
            <w:rPr>
              <w:rFonts w:ascii="Cambria Math" w:hAnsi="Cambria Math"/>
            </w:rPr>
            <m:t>0.579</m:t>
          </m:r>
          <m:r>
            <m:rPr>
              <m:sty m:val="p"/>
            </m:rP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m:t>
              </m:r>
              <m:r>
                <w:rPr>
                  <w:rFonts w:ascii="Cambria Math" w:hAnsi="Cambria Math"/>
                </w:rPr>
                <m:t>36</m:t>
              </m:r>
            </m:e>
          </m:rad>
          <m:r>
            <m:rPr>
              <m:sty m:val="p"/>
            </m:rPr>
            <w:rPr>
              <w:rFonts w:ascii="Cambria Math" w:hAnsi="Cambria Math"/>
            </w:rPr>
            <m:t>×</m:t>
          </m:r>
          <m:r>
            <w:rPr>
              <w:rFonts w:ascii="Cambria Math" w:hAnsi="Cambria Math"/>
            </w:rPr>
            <m:t>54.44</m:t>
          </m:r>
          <m:r>
            <m:rPr>
              <m:sty m:val="p"/>
            </m:rPr>
            <w:rPr>
              <w:rFonts w:ascii="Cambria Math" w:hAnsi="Cambria Math"/>
            </w:rPr>
            <m:t>/</m:t>
          </m:r>
          <m:sSup>
            <m:sSupPr>
              <m:ctrlPr>
                <w:rPr>
                  <w:rFonts w:ascii="Cambria Math" w:hAnsi="Cambria Math"/>
                </w:rPr>
              </m:ctrlPr>
            </m:sSupPr>
            <m:e>
              <m:r>
                <w:rPr>
                  <w:rFonts w:ascii="Cambria Math" w:hAnsi="Cambria Math"/>
                </w:rPr>
                <m:t>36</m:t>
              </m:r>
            </m:e>
            <m:sup>
              <m:r>
                <w:rPr>
                  <w:rFonts w:ascii="Cambria Math" w:hAnsi="Cambria Math"/>
                </w:rPr>
                <m:t>2</m:t>
              </m:r>
            </m:sup>
          </m:sSup>
          <m:r>
            <m:rPr>
              <m:sty m:val="p"/>
            </m:rPr>
            <w:rPr>
              <w:rFonts w:ascii="Cambria Math" w:hAnsi="Cambria Math"/>
            </w:rPr>
            <m:t>=</m:t>
          </m:r>
          <m:r>
            <w:rPr>
              <w:rFonts w:ascii="Cambria Math" w:hAnsi="Cambria Math"/>
            </w:rPr>
            <m:t>0.206</m:t>
          </m:r>
          <m:r>
            <m:rPr>
              <m:sty m:val="p"/>
            </m:rPr>
            <w:rPr>
              <w:rFonts w:ascii="Cambria Math" w:hAnsi="Cambria Math"/>
            </w:rPr>
            <m:t>.</m:t>
          </m:r>
        </m:oMath>
      </m:oMathPara>
    </w:p>
    <w:p w14:paraId="4FB509F5" w14:textId="77777777" w:rsidR="00AF76C0" w:rsidRDefault="00000000">
      <w:pPr>
        <w:pStyle w:val="FirstParagraph"/>
      </w:pPr>
      <w:r>
        <w:t>Again, there is a large discrepancy. This time the mean appears to be a better estimate than the one using the lower limit. The mean of the estimates is</w:t>
      </w:r>
    </w:p>
    <w:p w14:paraId="6F4BE700"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e>
          </m:d>
          <m:r>
            <m:rPr>
              <m:sty m:val="p"/>
            </m:rPr>
            <w:rPr>
              <w:rFonts w:ascii="Cambria Math" w:hAnsi="Cambria Math"/>
            </w:rPr>
            <m:t>=</m:t>
          </m:r>
          <m:d>
            <m:dPr>
              <m:ctrlPr>
                <w:rPr>
                  <w:rFonts w:ascii="Cambria Math" w:hAnsi="Cambria Math"/>
                </w:rPr>
              </m:ctrlPr>
            </m:dPr>
            <m:e>
              <m:r>
                <w:rPr>
                  <w:rFonts w:ascii="Cambria Math" w:hAnsi="Cambria Math"/>
                </w:rPr>
                <m:t>0.153</m:t>
              </m:r>
              <m:r>
                <m:rPr>
                  <m:sty m:val="p"/>
                </m:rPr>
                <w:rPr>
                  <w:rFonts w:ascii="Cambria Math" w:hAnsi="Cambria Math"/>
                </w:rPr>
                <m:t>+</m:t>
              </m:r>
              <m:r>
                <w:rPr>
                  <w:rFonts w:ascii="Cambria Math" w:hAnsi="Cambria Math"/>
                </w:rPr>
                <m:t>0.206</m:t>
              </m:r>
            </m:e>
          </m:d>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0.179</m:t>
          </m:r>
          <m:r>
            <m:rPr>
              <m:sty m:val="p"/>
            </m:rPr>
            <w:rPr>
              <w:rFonts w:ascii="Cambria Math" w:hAnsi="Cambria Math"/>
            </w:rPr>
            <m:t>.</m:t>
          </m:r>
        </m:oMath>
      </m:oMathPara>
    </w:p>
    <w:p w14:paraId="4DE9D386" w14:textId="77777777" w:rsidR="00AF76C0" w:rsidRDefault="00AF76C0">
      <w:pPr>
        <w:pStyle w:val="FirstParagraph"/>
      </w:pPr>
    </w:p>
    <w:p w14:paraId="1E64A482" w14:textId="77777777" w:rsidR="00AF76C0" w:rsidRDefault="00000000">
      <w:pPr>
        <w:pStyle w:val="Heading3"/>
      </w:pPr>
      <w:bookmarkStart w:id="22" w:name="X5a112773403f4f87757e9fb8747f16084b91c1a"/>
      <w:bookmarkStart w:id="23" w:name="_Toc153208220"/>
      <w:bookmarkEnd w:id="20"/>
      <w:r>
        <w:rPr>
          <w:rStyle w:val="SectionNumber"/>
        </w:rPr>
        <w:t>2.4.5</w:t>
      </w:r>
      <w:r>
        <w:tab/>
        <w:t>Correlation of logit sensitivity and logit specificity (</w:t>
      </w:r>
      <m:oMath>
        <m:r>
          <m:rPr>
            <m:sty m:val="bi"/>
          </m:rPr>
          <w:rPr>
            <w:rFonts w:ascii="Cambria Math" w:hAnsi="Cambria Math"/>
          </w:rPr>
          <m:t>ρ</m:t>
        </m:r>
      </m:oMath>
      <w:r>
        <w:t>)</w:t>
      </w:r>
      <w:bookmarkEnd w:id="23"/>
    </w:p>
    <w:tbl>
      <w:tblPr>
        <w:tblStyle w:val="Table"/>
        <w:tblW w:w="5000" w:type="pct"/>
        <w:tblLook w:val="0020" w:firstRow="1" w:lastRow="0" w:firstColumn="0" w:lastColumn="0" w:noHBand="0" w:noVBand="0"/>
      </w:tblPr>
      <w:tblGrid>
        <w:gridCol w:w="2387"/>
        <w:gridCol w:w="1127"/>
        <w:gridCol w:w="2181"/>
        <w:gridCol w:w="1950"/>
        <w:gridCol w:w="1931"/>
      </w:tblGrid>
      <w:tr w:rsidR="00AF76C0" w14:paraId="2F70D121"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1607C720" w14:textId="77777777" w:rsidR="00AF76C0" w:rsidRDefault="00AF76C0">
            <w:pPr>
              <w:pStyle w:val="Compact"/>
            </w:pPr>
          </w:p>
        </w:tc>
        <w:tc>
          <w:tcPr>
            <w:tcW w:w="0" w:type="auto"/>
          </w:tcPr>
          <w:p w14:paraId="436EDD6F" w14:textId="77777777" w:rsidR="00AF76C0" w:rsidRDefault="00000000">
            <w:pPr>
              <w:pStyle w:val="Compact"/>
            </w:pPr>
            <w:r>
              <w:t>Estimate</w:t>
            </w:r>
          </w:p>
        </w:tc>
        <w:tc>
          <w:tcPr>
            <w:tcW w:w="0" w:type="auto"/>
          </w:tcPr>
          <w:p w14:paraId="0F31B7C1" w14:textId="77777777" w:rsidR="00AF76C0" w:rsidRDefault="00000000">
            <w:pPr>
              <w:pStyle w:val="Compact"/>
            </w:pPr>
            <w:r>
              <w:t>Standard deviation</w:t>
            </w:r>
          </w:p>
        </w:tc>
        <w:tc>
          <w:tcPr>
            <w:tcW w:w="0" w:type="auto"/>
          </w:tcPr>
          <w:p w14:paraId="01632515" w14:textId="77777777" w:rsidR="00AF76C0" w:rsidRDefault="00000000">
            <w:pPr>
              <w:pStyle w:val="Compact"/>
            </w:pPr>
            <w:r>
              <w:t>Lower 95% limit</w:t>
            </w:r>
          </w:p>
        </w:tc>
        <w:tc>
          <w:tcPr>
            <w:tcW w:w="0" w:type="auto"/>
          </w:tcPr>
          <w:p w14:paraId="5392526C" w14:textId="77777777" w:rsidR="00AF76C0" w:rsidRDefault="00000000">
            <w:pPr>
              <w:pStyle w:val="Compact"/>
            </w:pPr>
            <w:r>
              <w:t>Upper 95% limit</w:t>
            </w:r>
          </w:p>
        </w:tc>
      </w:tr>
      <w:tr w:rsidR="00AF76C0" w14:paraId="0B388DC6" w14:textId="77777777">
        <w:tc>
          <w:tcPr>
            <w:tcW w:w="0" w:type="auto"/>
          </w:tcPr>
          <w:p w14:paraId="1613A067" w14:textId="77777777" w:rsidR="00AF76C0" w:rsidRDefault="00000000">
            <w:pPr>
              <w:pStyle w:val="Compact"/>
            </w:pPr>
            <w:r>
              <w:t>Cochrane frequentist</w:t>
            </w:r>
          </w:p>
        </w:tc>
        <w:tc>
          <w:tcPr>
            <w:tcW w:w="0" w:type="auto"/>
          </w:tcPr>
          <w:p w14:paraId="09FD58DA" w14:textId="77777777" w:rsidR="00AF76C0" w:rsidRDefault="00000000">
            <w:pPr>
              <w:pStyle w:val="Compact"/>
            </w:pPr>
            <w:r>
              <w:t>-0.4855</w:t>
            </w:r>
          </w:p>
        </w:tc>
        <w:tc>
          <w:tcPr>
            <w:tcW w:w="0" w:type="auto"/>
          </w:tcPr>
          <w:p w14:paraId="574656F8" w14:textId="77777777" w:rsidR="00AF76C0" w:rsidRDefault="00000000">
            <w:pPr>
              <w:pStyle w:val="Compact"/>
            </w:pPr>
            <w:r>
              <w:t>0.1274</w:t>
            </w:r>
          </w:p>
        </w:tc>
        <w:tc>
          <w:tcPr>
            <w:tcW w:w="0" w:type="auto"/>
          </w:tcPr>
          <w:p w14:paraId="408355A4" w14:textId="77777777" w:rsidR="00AF76C0" w:rsidRDefault="00000000">
            <w:pPr>
              <w:pStyle w:val="Compact"/>
            </w:pPr>
            <w:r>
              <w:t>NA</w:t>
            </w:r>
          </w:p>
        </w:tc>
        <w:tc>
          <w:tcPr>
            <w:tcW w:w="0" w:type="auto"/>
          </w:tcPr>
          <w:p w14:paraId="09793D7D" w14:textId="77777777" w:rsidR="00AF76C0" w:rsidRDefault="00000000">
            <w:pPr>
              <w:pStyle w:val="Compact"/>
            </w:pPr>
            <w:r>
              <w:t>NA</w:t>
            </w:r>
          </w:p>
        </w:tc>
      </w:tr>
      <w:tr w:rsidR="00AF76C0" w14:paraId="24BFF890" w14:textId="77777777">
        <w:tc>
          <w:tcPr>
            <w:tcW w:w="0" w:type="auto"/>
          </w:tcPr>
          <w:p w14:paraId="13A3A299" w14:textId="77777777" w:rsidR="00AF76C0" w:rsidRDefault="00000000">
            <w:pPr>
              <w:pStyle w:val="Compact"/>
            </w:pPr>
            <w:r>
              <w:t>Cochrane Bayesian</w:t>
            </w:r>
          </w:p>
        </w:tc>
        <w:tc>
          <w:tcPr>
            <w:tcW w:w="0" w:type="auto"/>
          </w:tcPr>
          <w:p w14:paraId="07A18DDE" w14:textId="77777777" w:rsidR="00AF76C0" w:rsidRDefault="00000000">
            <w:pPr>
              <w:pStyle w:val="Compact"/>
            </w:pPr>
            <w:r>
              <w:t>-0.4362</w:t>
            </w:r>
          </w:p>
        </w:tc>
        <w:tc>
          <w:tcPr>
            <w:tcW w:w="0" w:type="auto"/>
          </w:tcPr>
          <w:p w14:paraId="5BCC3FA9" w14:textId="77777777" w:rsidR="00AF76C0" w:rsidRDefault="00000000">
            <w:pPr>
              <w:pStyle w:val="Compact"/>
            </w:pPr>
            <w:r>
              <w:t>0.1567</w:t>
            </w:r>
          </w:p>
        </w:tc>
        <w:tc>
          <w:tcPr>
            <w:tcW w:w="0" w:type="auto"/>
          </w:tcPr>
          <w:p w14:paraId="45B31135" w14:textId="77777777" w:rsidR="00AF76C0" w:rsidRDefault="00000000">
            <w:pPr>
              <w:pStyle w:val="Compact"/>
            </w:pPr>
            <w:r>
              <w:t>-0.6993</w:t>
            </w:r>
          </w:p>
        </w:tc>
        <w:tc>
          <w:tcPr>
            <w:tcW w:w="0" w:type="auto"/>
          </w:tcPr>
          <w:p w14:paraId="01A7FDCB" w14:textId="77777777" w:rsidR="00AF76C0" w:rsidRDefault="00000000">
            <w:pPr>
              <w:pStyle w:val="Compact"/>
            </w:pPr>
            <w:r>
              <w:t>-0.0911</w:t>
            </w:r>
          </w:p>
        </w:tc>
      </w:tr>
      <w:tr w:rsidR="00AF76C0" w14:paraId="3A0590C6" w14:textId="77777777">
        <w:tc>
          <w:tcPr>
            <w:tcW w:w="0" w:type="auto"/>
          </w:tcPr>
          <w:p w14:paraId="73AF7F68" w14:textId="77777777" w:rsidR="00AF76C0" w:rsidRDefault="00000000">
            <w:pPr>
              <w:pStyle w:val="Compact"/>
            </w:pPr>
            <w:r>
              <w:t>MetaBayesDTA</w:t>
            </w:r>
          </w:p>
        </w:tc>
        <w:tc>
          <w:tcPr>
            <w:tcW w:w="0" w:type="auto"/>
          </w:tcPr>
          <w:p w14:paraId="2EB7AEFB" w14:textId="77777777" w:rsidR="00AF76C0" w:rsidRDefault="00000000">
            <w:pPr>
              <w:pStyle w:val="Compact"/>
            </w:pPr>
            <w:r>
              <w:t>-0.414</w:t>
            </w:r>
          </w:p>
        </w:tc>
        <w:tc>
          <w:tcPr>
            <w:tcW w:w="0" w:type="auto"/>
          </w:tcPr>
          <w:p w14:paraId="57C0AE85" w14:textId="77777777" w:rsidR="00AF76C0" w:rsidRDefault="00000000">
            <w:pPr>
              <w:pStyle w:val="Compact"/>
            </w:pPr>
            <w:r>
              <w:t>0.138</w:t>
            </w:r>
          </w:p>
        </w:tc>
        <w:tc>
          <w:tcPr>
            <w:tcW w:w="0" w:type="auto"/>
          </w:tcPr>
          <w:p w14:paraId="15F40E45" w14:textId="77777777" w:rsidR="00AF76C0" w:rsidRDefault="00000000">
            <w:pPr>
              <w:pStyle w:val="Compact"/>
            </w:pPr>
            <w:r>
              <w:t>-0.6880</w:t>
            </w:r>
          </w:p>
        </w:tc>
        <w:tc>
          <w:tcPr>
            <w:tcW w:w="0" w:type="auto"/>
          </w:tcPr>
          <w:p w14:paraId="4ED41A66" w14:textId="77777777" w:rsidR="00AF76C0" w:rsidRDefault="00000000">
            <w:pPr>
              <w:pStyle w:val="Compact"/>
            </w:pPr>
            <w:r>
              <w:t>-0.0270</w:t>
            </w:r>
          </w:p>
        </w:tc>
      </w:tr>
    </w:tbl>
    <w:p w14:paraId="028FCDFB" w14:textId="77777777" w:rsidR="00AF76C0" w:rsidRDefault="00000000">
      <w:pPr>
        <w:pStyle w:val="BodyText"/>
      </w:pPr>
      <w:r>
        <w:t xml:space="preserve">The frequentist model provides an estimate of the covariance </w:t>
      </w:r>
      <m:oMath>
        <m:sSub>
          <m:sSubPr>
            <m:ctrlPr>
              <w:rPr>
                <w:rFonts w:ascii="Cambria Math" w:hAnsi="Cambria Math"/>
              </w:rPr>
            </m:ctrlPr>
          </m:sSubPr>
          <m:e>
            <m:r>
              <w:rPr>
                <w:rFonts w:ascii="Cambria Math" w:hAnsi="Cambria Math"/>
              </w:rPr>
              <m:t>σ</m:t>
            </m:r>
          </m:e>
          <m:sub>
            <m:r>
              <w:rPr>
                <w:rFonts w:ascii="Cambria Math" w:hAnsi="Cambria Math"/>
              </w:rPr>
              <m:t>AB</m:t>
            </m:r>
          </m:sub>
        </m:sSub>
      </m:oMath>
      <w:r>
        <w:t xml:space="preserve"> rather than the correlation </w:t>
      </w:r>
      <m:oMath>
        <m:r>
          <w:rPr>
            <w:rFonts w:ascii="Cambria Math" w:hAnsi="Cambria Math"/>
          </w:rPr>
          <m:t>ρ</m:t>
        </m:r>
      </m:oMath>
      <w:r>
        <w:t xml:space="preserve">. The covariance estimate is </w:t>
      </w:r>
      <m:oMath>
        <m:r>
          <m:rPr>
            <m:sty m:val="p"/>
          </m:rPr>
          <w:rPr>
            <w:rFonts w:ascii="Cambria Math" w:hAnsi="Cambria Math"/>
          </w:rPr>
          <m:t>-</m:t>
        </m:r>
        <m:r>
          <w:rPr>
            <w:rFonts w:ascii="Cambria Math" w:hAnsi="Cambria Math"/>
          </w:rPr>
          <m:t>0.2704</m:t>
        </m:r>
      </m:oMath>
      <w:r>
        <w:t>. This can be converted into a correlation by dividing by the product of the standard deviations of logit sensitivity and logit specificity:</w:t>
      </w:r>
    </w:p>
    <w:p w14:paraId="61DDC5B0" w14:textId="77777777" w:rsidR="00AF76C0" w:rsidRDefault="00000000">
      <w:pPr>
        <w:pStyle w:val="BodyText"/>
      </w:pPr>
      <m:oMathPara>
        <m:oMathParaPr>
          <m:jc m:val="center"/>
        </m:oMathParaPr>
        <m:oMath>
          <m:r>
            <m:rPr>
              <m:sty m:val="p"/>
            </m:rPr>
            <w:rPr>
              <w:rFonts w:ascii="Cambria Math" w:hAnsi="Cambria Math"/>
            </w:rPr>
            <m:t>-</m:t>
          </m:r>
          <m:r>
            <w:rPr>
              <w:rFonts w:ascii="Cambria Math" w:hAnsi="Cambria Math"/>
            </w:rPr>
            <m:t>0.2704</m:t>
          </m:r>
          <m:r>
            <m:rPr>
              <m:sty m:val="p"/>
            </m:rPr>
            <w:rPr>
              <w:rFonts w:ascii="Cambria Math" w:hAnsi="Cambria Math"/>
            </w:rPr>
            <m:t>/</m:t>
          </m:r>
          <m:d>
            <m:dPr>
              <m:ctrlPr>
                <w:rPr>
                  <w:rFonts w:ascii="Cambria Math" w:hAnsi="Cambria Math"/>
                </w:rPr>
              </m:ctrlPr>
            </m:dPr>
            <m:e>
              <m:rad>
                <m:radPr>
                  <m:degHide m:val="1"/>
                  <m:ctrlPr>
                    <w:rPr>
                      <w:rFonts w:ascii="Cambria Math" w:hAnsi="Cambria Math"/>
                    </w:rPr>
                  </m:ctrlPr>
                </m:radPr>
                <m:deg/>
                <m:e>
                  <m:r>
                    <w:rPr>
                      <w:rFonts w:ascii="Cambria Math" w:hAnsi="Cambria Math"/>
                    </w:rPr>
                    <m:t>0.5426</m:t>
                  </m:r>
                </m:e>
              </m:rad>
              <m:r>
                <m:rPr>
                  <m:sty m:val="p"/>
                </m:rPr>
                <w:rPr>
                  <w:rFonts w:ascii="Cambria Math" w:hAnsi="Cambria Math"/>
                </w:rPr>
                <m:t>×</m:t>
              </m:r>
              <m:rad>
                <m:radPr>
                  <m:degHide m:val="1"/>
                  <m:ctrlPr>
                    <w:rPr>
                      <w:rFonts w:ascii="Cambria Math" w:hAnsi="Cambria Math"/>
                    </w:rPr>
                  </m:ctrlPr>
                </m:radPr>
                <m:deg/>
                <m:e>
                  <m:r>
                    <w:rPr>
                      <w:rFonts w:ascii="Cambria Math" w:hAnsi="Cambria Math"/>
                    </w:rPr>
                    <m:t>0.5717</m:t>
                  </m:r>
                </m:e>
              </m:rad>
            </m:e>
          </m:d>
          <m:r>
            <m:rPr>
              <m:sty m:val="p"/>
            </m:rPr>
            <w:rPr>
              <w:rFonts w:ascii="Cambria Math" w:hAnsi="Cambria Math"/>
            </w:rPr>
            <m:t>=-</m:t>
          </m:r>
          <m:r>
            <w:rPr>
              <w:rFonts w:ascii="Cambria Math" w:hAnsi="Cambria Math"/>
            </w:rPr>
            <m:t>0.4855</m:t>
          </m:r>
          <m:r>
            <m:rPr>
              <m:sty m:val="p"/>
            </m:rPr>
            <w:rPr>
              <w:rFonts w:ascii="Cambria Math" w:hAnsi="Cambria Math"/>
            </w:rPr>
            <m:t>.</m:t>
          </m:r>
        </m:oMath>
      </m:oMathPara>
    </w:p>
    <w:p w14:paraId="13F5D0ED" w14:textId="77777777" w:rsidR="00AF76C0" w:rsidRDefault="00000000">
      <w:pPr>
        <w:pStyle w:val="FirstParagraph"/>
      </w:pPr>
      <w:r>
        <w:t>Its standard error can be estimated as</w:t>
      </w:r>
    </w:p>
    <w:p w14:paraId="585CD25D" w14:textId="77777777" w:rsidR="00AF76C0" w:rsidRDefault="00000000">
      <w:pPr>
        <w:pStyle w:val="BodyText"/>
      </w:pPr>
      <m:oMathPara>
        <m:oMathParaPr>
          <m:jc m:val="center"/>
        </m:oMathParaPr>
        <m:oMath>
          <m:d>
            <m:dPr>
              <m:ctrlPr>
                <w:rPr>
                  <w:rFonts w:ascii="Cambria Math" w:hAnsi="Cambria Math"/>
                </w:rPr>
              </m:ctrlPr>
            </m:dPr>
            <m:e>
              <m:r>
                <w:rPr>
                  <w:rFonts w:ascii="Cambria Math" w:hAnsi="Cambria Math"/>
                </w:rPr>
                <m:t>1</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0.4855</m:t>
                      </m:r>
                    </m:e>
                  </m:d>
                </m:e>
                <m:sup>
                  <m:r>
                    <w:rPr>
                      <w:rFonts w:ascii="Cambria Math" w:hAnsi="Cambria Math"/>
                    </w:rPr>
                    <m:t>2</m:t>
                  </m:r>
                </m:sup>
              </m:sSup>
            </m:e>
          </m:d>
          <m:r>
            <m:rPr>
              <m:sty m:val="p"/>
            </m:rPr>
            <w:rPr>
              <w:rFonts w:ascii="Cambria Math" w:hAnsi="Cambria Math"/>
            </w:rPr>
            <m:t>/</m:t>
          </m:r>
          <m:rad>
            <m:radPr>
              <m:degHide m:val="1"/>
              <m:ctrlPr>
                <w:rPr>
                  <w:rFonts w:ascii="Cambria Math" w:hAnsi="Cambria Math"/>
                </w:rPr>
              </m:ctrlPr>
            </m:radPr>
            <m:deg/>
            <m:e>
              <m:r>
                <w:rPr>
                  <w:rFonts w:ascii="Cambria Math" w:hAnsi="Cambria Math"/>
                </w:rPr>
                <m:t>36</m:t>
              </m:r>
            </m:e>
          </m:rad>
          <m:r>
            <m:rPr>
              <m:sty m:val="p"/>
            </m:rPr>
            <w:rPr>
              <w:rFonts w:ascii="Cambria Math" w:hAnsi="Cambria Math"/>
            </w:rPr>
            <m:t>=</m:t>
          </m:r>
          <m:r>
            <w:rPr>
              <w:rFonts w:ascii="Cambria Math" w:hAnsi="Cambria Math"/>
            </w:rPr>
            <m:t>0.127</m:t>
          </m:r>
        </m:oMath>
      </m:oMathPara>
    </w:p>
    <w:p w14:paraId="7BFF1173" w14:textId="77777777" w:rsidR="00AF76C0" w:rsidRDefault="00000000">
      <w:pPr>
        <w:pStyle w:val="FirstParagraph"/>
      </w:pPr>
      <w:r>
        <w:t xml:space="preserve">where 36 is the number of trials minus 1. The same calculation can be used to estimate the standard deviation of </w:t>
      </w:r>
      <m:oMath>
        <m:r>
          <w:rPr>
            <w:rFonts w:ascii="Cambria Math" w:hAnsi="Cambria Math"/>
          </w:rPr>
          <m:t>ρ</m:t>
        </m:r>
      </m:oMath>
      <w:r>
        <w:t xml:space="preserve"> from the MetaBayesDTA output:</w:t>
      </w:r>
    </w:p>
    <w:p w14:paraId="034D568D"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ρ</m:t>
              </m:r>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0.414</m:t>
                      </m:r>
                    </m:e>
                  </m:d>
                </m:e>
                <m:sup>
                  <m:r>
                    <w:rPr>
                      <w:rFonts w:ascii="Cambria Math" w:hAnsi="Cambria Math"/>
                    </w:rPr>
                    <m:t>2</m:t>
                  </m:r>
                </m:sup>
              </m:sSup>
            </m:e>
          </m:d>
          <m:r>
            <m:rPr>
              <m:sty m:val="p"/>
            </m:rPr>
            <w:rPr>
              <w:rFonts w:ascii="Cambria Math" w:hAnsi="Cambria Math"/>
            </w:rPr>
            <m:t>/</m:t>
          </m:r>
          <m:rad>
            <m:radPr>
              <m:degHide m:val="1"/>
              <m:ctrlPr>
                <w:rPr>
                  <w:rFonts w:ascii="Cambria Math" w:hAnsi="Cambria Math"/>
                </w:rPr>
              </m:ctrlPr>
            </m:radPr>
            <m:deg/>
            <m:e>
              <m:r>
                <w:rPr>
                  <w:rFonts w:ascii="Cambria Math" w:hAnsi="Cambria Math"/>
                </w:rPr>
                <m:t>36</m:t>
              </m:r>
            </m:e>
          </m:rad>
          <m:r>
            <m:rPr>
              <m:sty m:val="p"/>
            </m:rPr>
            <w:rPr>
              <w:rFonts w:ascii="Cambria Math" w:hAnsi="Cambria Math"/>
            </w:rPr>
            <m:t>=</m:t>
          </m:r>
          <m:r>
            <w:rPr>
              <w:rFonts w:ascii="Cambria Math" w:hAnsi="Cambria Math"/>
            </w:rPr>
            <m:t>0.138</m:t>
          </m:r>
          <m:r>
            <m:rPr>
              <m:sty m:val="p"/>
            </m:rPr>
            <w:rPr>
              <w:rFonts w:ascii="Cambria Math" w:hAnsi="Cambria Math"/>
            </w:rPr>
            <m:t>.</m:t>
          </m:r>
        </m:oMath>
      </m:oMathPara>
    </w:p>
    <w:p w14:paraId="48FE16BF" w14:textId="77777777" w:rsidR="00AF76C0" w:rsidRDefault="00AF76C0">
      <w:pPr>
        <w:pStyle w:val="FirstParagraph"/>
      </w:pPr>
    </w:p>
    <w:p w14:paraId="56BB67B8" w14:textId="77777777" w:rsidR="00AF76C0" w:rsidRDefault="00000000">
      <w:pPr>
        <w:pStyle w:val="Heading1"/>
      </w:pPr>
      <w:bookmarkStart w:id="24" w:name="HSROC"/>
      <w:bookmarkStart w:id="25" w:name="_Toc153208221"/>
      <w:bookmarkEnd w:id="2"/>
      <w:bookmarkEnd w:id="10"/>
      <w:bookmarkEnd w:id="22"/>
      <w:r>
        <w:rPr>
          <w:rStyle w:val="SectionNumber"/>
        </w:rPr>
        <w:t>3</w:t>
      </w:r>
      <w:r>
        <w:tab/>
        <w:t>Rutter and Gatsonis HSROC model, 9.4.4 Example 2: Rheumatoid factor as a marker for rheumatoid arthritis</w:t>
      </w:r>
      <w:bookmarkEnd w:id="25"/>
    </w:p>
    <w:p w14:paraId="6E86CF83" w14:textId="77777777" w:rsidR="00AF76C0" w:rsidRDefault="00000000">
      <w:pPr>
        <w:pStyle w:val="FirstParagraph"/>
      </w:pPr>
      <w:r>
        <w:t>MetaBayesDTA does not directly fit the HSROC model. However, when there are no covariates the HSROC model is equivalent to the bivariate model, and the parameter estimates from each model can be derived from the other. MetaBayesDTA provides parameter estimates for the HSROC model in this case by deriving them from the parameters of the bivariate model.</w:t>
      </w:r>
    </w:p>
    <w:p w14:paraId="44D3D458" w14:textId="77777777" w:rsidR="00AF76C0" w:rsidRDefault="00000000">
      <w:pPr>
        <w:pStyle w:val="BodyText"/>
      </w:pPr>
      <w:r>
        <w:t xml:space="preserve">Since there is no practical difference for the user in fitting the HSROC model compared to the bivariate model, the instructions from the previous example can be followed. The </w:t>
      </w:r>
      <w:r>
        <w:lastRenderedPageBreak/>
        <w:t>exception is that the SROC plot does not include a curve by default, so the following are instructions on how the curve can be added.</w:t>
      </w:r>
    </w:p>
    <w:p w14:paraId="0D860246" w14:textId="77777777" w:rsidR="00AF76C0" w:rsidRDefault="00000000">
      <w:pPr>
        <w:pStyle w:val="BodyText"/>
      </w:pPr>
      <w:r>
        <w:t xml:space="preserve">The dataset in this example is </w:t>
      </w:r>
      <w:r>
        <w:rPr>
          <w:i/>
          <w:iCs/>
        </w:rPr>
        <w:t>RF.csv</w:t>
      </w:r>
      <w:r>
        <w:t>.</w:t>
      </w:r>
    </w:p>
    <w:p w14:paraId="6911E3C9" w14:textId="77777777" w:rsidR="00AF76C0" w:rsidRDefault="00AF76C0">
      <w:pPr>
        <w:pStyle w:val="BodyText"/>
      </w:pPr>
    </w:p>
    <w:p w14:paraId="6E5C843D" w14:textId="77777777" w:rsidR="00AF76C0" w:rsidRDefault="00000000">
      <w:pPr>
        <w:pStyle w:val="Heading2"/>
      </w:pPr>
      <w:bookmarkStart w:id="26" w:name="add-the-sroc-curve"/>
      <w:bookmarkStart w:id="27" w:name="_Toc153208222"/>
      <w:r>
        <w:rPr>
          <w:rStyle w:val="SectionNumber"/>
        </w:rPr>
        <w:t>3.1</w:t>
      </w:r>
      <w:r>
        <w:tab/>
        <w:t>Add the SROC curve</w:t>
      </w:r>
      <w:bookmarkEnd w:id="27"/>
    </w:p>
    <w:p w14:paraId="6E49F96A" w14:textId="77777777" w:rsidR="00AF76C0" w:rsidRDefault="00AF76C0">
      <w:pPr>
        <w:pStyle w:val="FirstParagraph"/>
      </w:pPr>
    </w:p>
    <w:p w14:paraId="26F24EDF" w14:textId="77777777" w:rsidR="00AF76C0" w:rsidRDefault="00000000">
      <w:pPr>
        <w:pStyle w:val="BodyText"/>
      </w:pPr>
      <w:r>
        <w:t>By default the SROC plot should look like this.</w:t>
      </w:r>
    </w:p>
    <w:p w14:paraId="38C88220" w14:textId="77777777" w:rsidR="00AF76C0" w:rsidRDefault="00000000">
      <w:pPr>
        <w:pStyle w:val="BodyText"/>
      </w:pPr>
      <w:r>
        <w:rPr>
          <w:noProof/>
        </w:rPr>
        <w:drawing>
          <wp:inline distT="0" distB="0" distL="0" distR="0" wp14:anchorId="3C1EC757" wp14:editId="03D23425">
            <wp:extent cx="3733800" cy="3438319"/>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Picture" descr="./Cochrane_DTA_9.4.4_example_2/Pictures/SROC.png"/>
                    <pic:cNvPicPr>
                      <a:picLocks noChangeAspect="1" noChangeArrowheads="1"/>
                    </pic:cNvPicPr>
                  </pic:nvPicPr>
                  <pic:blipFill>
                    <a:blip r:embed="rId27"/>
                    <a:stretch>
                      <a:fillRect/>
                    </a:stretch>
                  </pic:blipFill>
                  <pic:spPr bwMode="auto">
                    <a:xfrm>
                      <a:off x="0" y="0"/>
                      <a:ext cx="3733800" cy="3438319"/>
                    </a:xfrm>
                    <a:prstGeom prst="rect">
                      <a:avLst/>
                    </a:prstGeom>
                    <a:noFill/>
                    <a:ln w="9525">
                      <a:noFill/>
                      <a:headEnd/>
                      <a:tailEnd/>
                    </a:ln>
                  </pic:spPr>
                </pic:pic>
              </a:graphicData>
            </a:graphic>
          </wp:inline>
        </w:drawing>
      </w:r>
    </w:p>
    <w:p w14:paraId="7F34D98B" w14:textId="77777777" w:rsidR="00AF76C0" w:rsidRDefault="00AF76C0">
      <w:pPr>
        <w:pStyle w:val="BodyText"/>
      </w:pPr>
    </w:p>
    <w:p w14:paraId="298A941F" w14:textId="77777777" w:rsidR="00AF76C0" w:rsidRDefault="00000000">
      <w:pPr>
        <w:pStyle w:val="BodyText"/>
      </w:pPr>
      <w:r>
        <w:t xml:space="preserve">On the </w:t>
      </w:r>
      <w:r>
        <w:rPr>
          <w:b/>
          <w:bCs/>
        </w:rPr>
        <w:t>sROC Plot</w:t>
      </w:r>
      <w:r>
        <w:t xml:space="preserve"> tab, select the settings drop-down menu.</w:t>
      </w:r>
    </w:p>
    <w:p w14:paraId="44612F05" w14:textId="77777777" w:rsidR="00AF76C0" w:rsidRDefault="00000000">
      <w:pPr>
        <w:pStyle w:val="BodyText"/>
      </w:pPr>
      <w:r>
        <w:rPr>
          <w:noProof/>
        </w:rPr>
        <w:drawing>
          <wp:inline distT="0" distB="0" distL="0" distR="0" wp14:anchorId="32271342" wp14:editId="201A9E13">
            <wp:extent cx="4800600" cy="1627048"/>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7" name="Picture" descr="./Cochrane_DTA_9.4.4_example_2/Pictures/SROC_2.png"/>
                    <pic:cNvPicPr>
                      <a:picLocks noChangeAspect="1" noChangeArrowheads="1"/>
                    </pic:cNvPicPr>
                  </pic:nvPicPr>
                  <pic:blipFill>
                    <a:blip r:embed="rId28"/>
                    <a:stretch>
                      <a:fillRect/>
                    </a:stretch>
                  </pic:blipFill>
                  <pic:spPr bwMode="auto">
                    <a:xfrm>
                      <a:off x="0" y="0"/>
                      <a:ext cx="4800600" cy="1627048"/>
                    </a:xfrm>
                    <a:prstGeom prst="rect">
                      <a:avLst/>
                    </a:prstGeom>
                    <a:noFill/>
                    <a:ln w="9525">
                      <a:noFill/>
                      <a:headEnd/>
                      <a:tailEnd/>
                    </a:ln>
                  </pic:spPr>
                </pic:pic>
              </a:graphicData>
            </a:graphic>
          </wp:inline>
        </w:drawing>
      </w:r>
    </w:p>
    <w:p w14:paraId="5F55B0C6" w14:textId="77777777" w:rsidR="00AF76C0" w:rsidRDefault="00AF76C0">
      <w:pPr>
        <w:pStyle w:val="BodyText"/>
      </w:pPr>
    </w:p>
    <w:p w14:paraId="756B9396" w14:textId="77777777" w:rsidR="00AF76C0" w:rsidRDefault="00000000">
      <w:pPr>
        <w:pStyle w:val="BodyText"/>
      </w:pPr>
      <w:r>
        <w:lastRenderedPageBreak/>
        <w:t xml:space="preserve">Under </w:t>
      </w:r>
      <w:r>
        <w:rPr>
          <w:b/>
          <w:bCs/>
        </w:rPr>
        <w:t>Options</w:t>
      </w:r>
      <w:r>
        <w:t xml:space="preserve">, tick the </w:t>
      </w:r>
      <w:r>
        <w:rPr>
          <w:b/>
          <w:bCs/>
        </w:rPr>
        <w:t>sROC curve</w:t>
      </w:r>
      <w:r>
        <w:t xml:space="preserve"> box.</w:t>
      </w:r>
    </w:p>
    <w:p w14:paraId="3B09E4C4" w14:textId="77777777" w:rsidR="00AF76C0" w:rsidRDefault="00000000">
      <w:pPr>
        <w:pStyle w:val="BodyText"/>
      </w:pPr>
      <w:r>
        <w:rPr>
          <w:noProof/>
        </w:rPr>
        <w:drawing>
          <wp:inline distT="0" distB="0" distL="0" distR="0" wp14:anchorId="382F033D" wp14:editId="7E9C07CF">
            <wp:extent cx="4800600" cy="366780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Picture" descr="./Cochrane_DTA_9.4.4_example_2/Pictures/SROC_3.png"/>
                    <pic:cNvPicPr>
                      <a:picLocks noChangeAspect="1" noChangeArrowheads="1"/>
                    </pic:cNvPicPr>
                  </pic:nvPicPr>
                  <pic:blipFill>
                    <a:blip r:embed="rId29"/>
                    <a:stretch>
                      <a:fillRect/>
                    </a:stretch>
                  </pic:blipFill>
                  <pic:spPr bwMode="auto">
                    <a:xfrm>
                      <a:off x="0" y="0"/>
                      <a:ext cx="4800600" cy="3667805"/>
                    </a:xfrm>
                    <a:prstGeom prst="rect">
                      <a:avLst/>
                    </a:prstGeom>
                    <a:noFill/>
                    <a:ln w="9525">
                      <a:noFill/>
                      <a:headEnd/>
                      <a:tailEnd/>
                    </a:ln>
                  </pic:spPr>
                </pic:pic>
              </a:graphicData>
            </a:graphic>
          </wp:inline>
        </w:drawing>
      </w:r>
    </w:p>
    <w:p w14:paraId="059A160A" w14:textId="77777777" w:rsidR="00AF76C0" w:rsidRDefault="00AF76C0">
      <w:pPr>
        <w:pStyle w:val="BodyText"/>
      </w:pPr>
    </w:p>
    <w:p w14:paraId="034C2127" w14:textId="77777777" w:rsidR="00AF76C0" w:rsidRDefault="00000000">
      <w:pPr>
        <w:pStyle w:val="BodyText"/>
      </w:pPr>
      <w:r>
        <w:t>The SROC plot should now look like this.</w:t>
      </w:r>
    </w:p>
    <w:p w14:paraId="1AA08C65" w14:textId="77777777" w:rsidR="00AF76C0" w:rsidRDefault="00000000">
      <w:pPr>
        <w:pStyle w:val="BodyText"/>
      </w:pPr>
      <w:r>
        <w:rPr>
          <w:noProof/>
        </w:rPr>
        <w:drawing>
          <wp:inline distT="0" distB="0" distL="0" distR="0" wp14:anchorId="42E4896F" wp14:editId="54793D1E">
            <wp:extent cx="3733800" cy="346710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3" name="Picture" descr="./Cochrane_DTA_9.4.4_example_2/Pictures/SROC_4.png"/>
                    <pic:cNvPicPr>
                      <a:picLocks noChangeAspect="1" noChangeArrowheads="1"/>
                    </pic:cNvPicPr>
                  </pic:nvPicPr>
                  <pic:blipFill>
                    <a:blip r:embed="rId30"/>
                    <a:stretch>
                      <a:fillRect/>
                    </a:stretch>
                  </pic:blipFill>
                  <pic:spPr bwMode="auto">
                    <a:xfrm>
                      <a:off x="0" y="0"/>
                      <a:ext cx="3733800" cy="3467100"/>
                    </a:xfrm>
                    <a:prstGeom prst="rect">
                      <a:avLst/>
                    </a:prstGeom>
                    <a:noFill/>
                    <a:ln w="9525">
                      <a:noFill/>
                      <a:headEnd/>
                      <a:tailEnd/>
                    </a:ln>
                  </pic:spPr>
                </pic:pic>
              </a:graphicData>
            </a:graphic>
          </wp:inline>
        </w:drawing>
      </w:r>
    </w:p>
    <w:p w14:paraId="1C36AD27" w14:textId="77777777" w:rsidR="00AF76C0" w:rsidRDefault="00AF76C0">
      <w:pPr>
        <w:pStyle w:val="BodyText"/>
      </w:pPr>
    </w:p>
    <w:p w14:paraId="789D6CF5" w14:textId="77777777" w:rsidR="00AF76C0" w:rsidRDefault="00000000">
      <w:pPr>
        <w:pStyle w:val="Heading2"/>
      </w:pPr>
      <w:bookmarkStart w:id="28" w:name="estimate-the-parameters-optional-1"/>
      <w:bookmarkStart w:id="29" w:name="_Toc153208223"/>
      <w:bookmarkEnd w:id="26"/>
      <w:r>
        <w:rPr>
          <w:rStyle w:val="SectionNumber"/>
        </w:rPr>
        <w:t>3.2</w:t>
      </w:r>
      <w:r>
        <w:tab/>
        <w:t>Estimate the parameters (optional)</w:t>
      </w:r>
      <w:bookmarkEnd w:id="29"/>
    </w:p>
    <w:p w14:paraId="4A69F142" w14:textId="77777777" w:rsidR="00AF76C0" w:rsidRDefault="00AF76C0">
      <w:pPr>
        <w:pStyle w:val="FirstParagraph"/>
      </w:pPr>
    </w:p>
    <w:p w14:paraId="5D594D5D" w14:textId="77777777" w:rsidR="00AF76C0" w:rsidRDefault="00000000">
      <w:pPr>
        <w:pStyle w:val="BodyText"/>
      </w:pPr>
      <w:r>
        <w:t>These are the parameter estimates from MetaBayesDTA.</w:t>
      </w:r>
    </w:p>
    <w:p w14:paraId="45F9C133" w14:textId="77777777" w:rsidR="00AF76C0" w:rsidRDefault="00AF76C0">
      <w:pPr>
        <w:pStyle w:val="BodyText"/>
      </w:pPr>
    </w:p>
    <w:p w14:paraId="1975A842" w14:textId="77777777" w:rsidR="00AF76C0" w:rsidRDefault="00000000">
      <w:pPr>
        <w:pStyle w:val="BodyText"/>
      </w:pPr>
      <w:r>
        <w:rPr>
          <w:noProof/>
        </w:rPr>
        <w:drawing>
          <wp:inline distT="0" distB="0" distL="0" distR="0" wp14:anchorId="4A2A80EA" wp14:editId="5BA062C1">
            <wp:extent cx="4800600" cy="4892782"/>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7" name="Picture" descr="./Cochrane_DTA_9.4.4_example_2/Pictures/Parameters.png"/>
                    <pic:cNvPicPr>
                      <a:picLocks noChangeAspect="1" noChangeArrowheads="1"/>
                    </pic:cNvPicPr>
                  </pic:nvPicPr>
                  <pic:blipFill>
                    <a:blip r:embed="rId31"/>
                    <a:stretch>
                      <a:fillRect/>
                    </a:stretch>
                  </pic:blipFill>
                  <pic:spPr bwMode="auto">
                    <a:xfrm>
                      <a:off x="0" y="0"/>
                      <a:ext cx="4800600" cy="4892782"/>
                    </a:xfrm>
                    <a:prstGeom prst="rect">
                      <a:avLst/>
                    </a:prstGeom>
                    <a:noFill/>
                    <a:ln w="9525">
                      <a:noFill/>
                      <a:headEnd/>
                      <a:tailEnd/>
                    </a:ln>
                  </pic:spPr>
                </pic:pic>
              </a:graphicData>
            </a:graphic>
          </wp:inline>
        </w:drawing>
      </w:r>
    </w:p>
    <w:p w14:paraId="51C4A093" w14:textId="77777777" w:rsidR="00AF76C0" w:rsidRDefault="00AF76C0">
      <w:pPr>
        <w:pStyle w:val="BodyText"/>
      </w:pPr>
    </w:p>
    <w:p w14:paraId="7F5114DE" w14:textId="77777777" w:rsidR="00AF76C0" w:rsidRDefault="00000000">
      <w:pPr>
        <w:pStyle w:val="BodyText"/>
      </w:pPr>
      <w:r>
        <w:t xml:space="preserve">The table below is from chapter 9, page 20, of the handbook, and contains the parameter estimates and their standard errors from the frequentist HSROC model. (The parameter </w:t>
      </w:r>
      <m:oMath>
        <m:sSub>
          <m:sSubPr>
            <m:ctrlPr>
              <w:rPr>
                <w:rFonts w:ascii="Cambria Math" w:hAnsi="Cambria Math"/>
              </w:rPr>
            </m:ctrlPr>
          </m:sSubPr>
          <m:e>
            <m:r>
              <w:rPr>
                <w:rFonts w:ascii="Cambria Math" w:hAnsi="Cambria Math"/>
              </w:rPr>
              <m:t>σ</m:t>
            </m:r>
          </m:e>
          <m:sub>
            <m:r>
              <w:rPr>
                <w:rFonts w:ascii="Cambria Math" w:hAnsi="Cambria Math"/>
              </w:rPr>
              <m:t>θ</m:t>
            </m:r>
          </m:sub>
        </m:sSub>
      </m:oMath>
      <w:r>
        <w:t xml:space="preserve"> is incorrectly written as </w:t>
      </w:r>
      <m:oMath>
        <m:sSub>
          <m:sSubPr>
            <m:ctrlPr>
              <w:rPr>
                <w:rFonts w:ascii="Cambria Math" w:hAnsi="Cambria Math"/>
              </w:rPr>
            </m:ctrlPr>
          </m:sSubPr>
          <m:e>
            <m:r>
              <w:rPr>
                <w:rFonts w:ascii="Cambria Math" w:hAnsi="Cambria Math"/>
              </w:rPr>
              <m:t>σ</m:t>
            </m:r>
          </m:e>
          <m:sub>
            <m:r>
              <w:rPr>
                <w:rFonts w:ascii="Cambria Math" w:hAnsi="Cambria Math"/>
              </w:rPr>
              <m:t>β</m:t>
            </m:r>
          </m:sub>
        </m:sSub>
      </m:oMath>
      <w:r>
        <w:t>).</w:t>
      </w:r>
    </w:p>
    <w:p w14:paraId="649A974F" w14:textId="77777777" w:rsidR="00AF76C0" w:rsidRDefault="00000000">
      <w:pPr>
        <w:pStyle w:val="BodyText"/>
      </w:pPr>
      <w:r>
        <w:rPr>
          <w:noProof/>
        </w:rPr>
        <w:lastRenderedPageBreak/>
        <w:drawing>
          <wp:inline distT="0" distB="0" distL="0" distR="0" wp14:anchorId="32F96679" wp14:editId="24DCFA10">
            <wp:extent cx="5334000" cy="262659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Picture" descr="./Cochrane_DTA_9.4.4_example_2/Pictures/Cochrane_parameters.png"/>
                    <pic:cNvPicPr>
                      <a:picLocks noChangeAspect="1" noChangeArrowheads="1"/>
                    </pic:cNvPicPr>
                  </pic:nvPicPr>
                  <pic:blipFill>
                    <a:blip r:embed="rId32"/>
                    <a:stretch>
                      <a:fillRect/>
                    </a:stretch>
                  </pic:blipFill>
                  <pic:spPr bwMode="auto">
                    <a:xfrm>
                      <a:off x="0" y="0"/>
                      <a:ext cx="5334000" cy="2626590"/>
                    </a:xfrm>
                    <a:prstGeom prst="rect">
                      <a:avLst/>
                    </a:prstGeom>
                    <a:noFill/>
                    <a:ln w="9525">
                      <a:noFill/>
                      <a:headEnd/>
                      <a:tailEnd/>
                    </a:ln>
                  </pic:spPr>
                </pic:pic>
              </a:graphicData>
            </a:graphic>
          </wp:inline>
        </w:drawing>
      </w:r>
    </w:p>
    <w:p w14:paraId="19ABABE9" w14:textId="77777777" w:rsidR="00AF76C0" w:rsidRDefault="00000000">
      <w:pPr>
        <w:pStyle w:val="BodyText"/>
      </w:pPr>
      <w:r>
        <w:t>Next are the estimated means and standard deviations of the parameters, together with quantiles, from the Bayesian model, found in chapter 10, page 24 of the handbook.</w:t>
      </w:r>
    </w:p>
    <w:p w14:paraId="69EEC6EF" w14:textId="77777777" w:rsidR="00AF76C0" w:rsidRDefault="00000000">
      <w:pPr>
        <w:pStyle w:val="BodyText"/>
      </w:pPr>
      <w:r>
        <w:rPr>
          <w:noProof/>
        </w:rPr>
        <w:drawing>
          <wp:inline distT="0" distB="0" distL="0" distR="0" wp14:anchorId="4C7203F0" wp14:editId="4D0DFD02">
            <wp:extent cx="5334000" cy="1374098"/>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3" name="Picture" descr="./Cochrane_DTA_9.4.4_example_2/Pictures/Cochrane_Bayes.png"/>
                    <pic:cNvPicPr>
                      <a:picLocks noChangeAspect="1" noChangeArrowheads="1"/>
                    </pic:cNvPicPr>
                  </pic:nvPicPr>
                  <pic:blipFill>
                    <a:blip r:embed="rId33"/>
                    <a:stretch>
                      <a:fillRect/>
                    </a:stretch>
                  </pic:blipFill>
                  <pic:spPr bwMode="auto">
                    <a:xfrm>
                      <a:off x="0" y="0"/>
                      <a:ext cx="5334000" cy="1374098"/>
                    </a:xfrm>
                    <a:prstGeom prst="rect">
                      <a:avLst/>
                    </a:prstGeom>
                    <a:noFill/>
                    <a:ln w="9525">
                      <a:noFill/>
                      <a:headEnd/>
                      <a:tailEnd/>
                    </a:ln>
                  </pic:spPr>
                </pic:pic>
              </a:graphicData>
            </a:graphic>
          </wp:inline>
        </w:drawing>
      </w:r>
    </w:p>
    <w:p w14:paraId="0852AEFF" w14:textId="77777777" w:rsidR="00AF76C0" w:rsidRDefault="00AF76C0">
      <w:pPr>
        <w:pStyle w:val="BodyText"/>
      </w:pPr>
    </w:p>
    <w:p w14:paraId="67101CE3" w14:textId="77777777" w:rsidR="00AF76C0" w:rsidRDefault="00000000">
      <w:pPr>
        <w:pStyle w:val="BodyText"/>
      </w:pPr>
      <w:r>
        <w:t>The three sources use different notation for the parameters. The table below shows which parameters are which.</w:t>
      </w:r>
    </w:p>
    <w:tbl>
      <w:tblPr>
        <w:tblStyle w:val="Table"/>
        <w:tblW w:w="5000" w:type="pct"/>
        <w:tblLook w:val="0020" w:firstRow="1" w:lastRow="0" w:firstColumn="0" w:lastColumn="0" w:noHBand="0" w:noVBand="0"/>
      </w:tblPr>
      <w:tblGrid>
        <w:gridCol w:w="3072"/>
        <w:gridCol w:w="1483"/>
        <w:gridCol w:w="1233"/>
        <w:gridCol w:w="858"/>
        <w:gridCol w:w="1465"/>
        <w:gridCol w:w="1465"/>
      </w:tblGrid>
      <w:tr w:rsidR="00AF76C0" w14:paraId="600C96F6"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70312FC4" w14:textId="77777777" w:rsidR="00AF76C0" w:rsidRDefault="00000000">
            <w:pPr>
              <w:pStyle w:val="Compact"/>
            </w:pPr>
            <w:r>
              <w:t>Parameters</w:t>
            </w:r>
          </w:p>
        </w:tc>
        <w:tc>
          <w:tcPr>
            <w:tcW w:w="0" w:type="auto"/>
          </w:tcPr>
          <w:p w14:paraId="2A026359" w14:textId="77777777" w:rsidR="00AF76C0" w:rsidRDefault="00AF76C0">
            <w:pPr>
              <w:pStyle w:val="Compact"/>
            </w:pPr>
          </w:p>
        </w:tc>
        <w:tc>
          <w:tcPr>
            <w:tcW w:w="0" w:type="auto"/>
          </w:tcPr>
          <w:p w14:paraId="38AA0B73" w14:textId="77777777" w:rsidR="00AF76C0" w:rsidRDefault="00AF76C0">
            <w:pPr>
              <w:pStyle w:val="Compact"/>
            </w:pPr>
          </w:p>
        </w:tc>
        <w:tc>
          <w:tcPr>
            <w:tcW w:w="0" w:type="auto"/>
          </w:tcPr>
          <w:p w14:paraId="6E860481" w14:textId="77777777" w:rsidR="00AF76C0" w:rsidRDefault="00AF76C0">
            <w:pPr>
              <w:pStyle w:val="Compact"/>
            </w:pPr>
          </w:p>
        </w:tc>
        <w:tc>
          <w:tcPr>
            <w:tcW w:w="0" w:type="auto"/>
          </w:tcPr>
          <w:p w14:paraId="2667BEE1" w14:textId="77777777" w:rsidR="00AF76C0" w:rsidRDefault="00AF76C0">
            <w:pPr>
              <w:pStyle w:val="Compact"/>
            </w:pPr>
          </w:p>
        </w:tc>
        <w:tc>
          <w:tcPr>
            <w:tcW w:w="0" w:type="auto"/>
          </w:tcPr>
          <w:p w14:paraId="75127482" w14:textId="77777777" w:rsidR="00AF76C0" w:rsidRDefault="00AF76C0">
            <w:pPr>
              <w:pStyle w:val="Compact"/>
            </w:pPr>
          </w:p>
        </w:tc>
      </w:tr>
      <w:tr w:rsidR="00AF76C0" w14:paraId="568D2F52" w14:textId="77777777">
        <w:tc>
          <w:tcPr>
            <w:tcW w:w="0" w:type="auto"/>
          </w:tcPr>
          <w:p w14:paraId="5E083F3F" w14:textId="77777777" w:rsidR="00AF76C0" w:rsidRDefault="00000000">
            <w:pPr>
              <w:pStyle w:val="Compact"/>
            </w:pPr>
            <w:r>
              <w:t>Cochrane frequentist</w:t>
            </w:r>
          </w:p>
        </w:tc>
        <w:tc>
          <w:tcPr>
            <w:tcW w:w="0" w:type="auto"/>
          </w:tcPr>
          <w:p w14:paraId="7D6F3298" w14:textId="77777777" w:rsidR="00AF76C0" w:rsidRDefault="00000000">
            <w:pPr>
              <w:pStyle w:val="Compact"/>
            </w:pPr>
            <m:oMathPara>
              <m:oMath>
                <m:r>
                  <w:rPr>
                    <w:rFonts w:ascii="Cambria Math" w:hAnsi="Cambria Math"/>
                  </w:rPr>
                  <m:t>Λ</m:t>
                </m:r>
              </m:oMath>
            </m:oMathPara>
          </w:p>
        </w:tc>
        <w:tc>
          <w:tcPr>
            <w:tcW w:w="0" w:type="auto"/>
          </w:tcPr>
          <w:p w14:paraId="2DF4E1D6" w14:textId="77777777" w:rsidR="00AF76C0" w:rsidRDefault="00000000">
            <w:pPr>
              <w:pStyle w:val="Compact"/>
            </w:pPr>
            <m:oMathPara>
              <m:oMath>
                <m:r>
                  <w:rPr>
                    <w:rFonts w:ascii="Cambria Math" w:hAnsi="Cambria Math"/>
                  </w:rPr>
                  <m:t>Θ</m:t>
                </m:r>
              </m:oMath>
            </m:oMathPara>
          </w:p>
        </w:tc>
        <w:tc>
          <w:tcPr>
            <w:tcW w:w="0" w:type="auto"/>
          </w:tcPr>
          <w:p w14:paraId="2688A8E2" w14:textId="77777777" w:rsidR="00AF76C0" w:rsidRDefault="00000000">
            <w:pPr>
              <w:pStyle w:val="Compact"/>
            </w:pPr>
            <m:oMathPara>
              <m:oMath>
                <m:r>
                  <w:rPr>
                    <w:rFonts w:ascii="Cambria Math" w:hAnsi="Cambria Math"/>
                  </w:rPr>
                  <m:t>β</m:t>
                </m:r>
              </m:oMath>
            </m:oMathPara>
          </w:p>
        </w:tc>
        <w:tc>
          <w:tcPr>
            <w:tcW w:w="0" w:type="auto"/>
          </w:tcPr>
          <w:p w14:paraId="63C3AD48"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α</m:t>
                    </m:r>
                  </m:sub>
                  <m:sup>
                    <m:r>
                      <w:rPr>
                        <w:rFonts w:ascii="Cambria Math" w:hAnsi="Cambria Math"/>
                      </w:rPr>
                      <m:t>2</m:t>
                    </m:r>
                  </m:sup>
                </m:sSubSup>
              </m:oMath>
            </m:oMathPara>
          </w:p>
        </w:tc>
        <w:tc>
          <w:tcPr>
            <w:tcW w:w="0" w:type="auto"/>
          </w:tcPr>
          <w:p w14:paraId="64DB926C"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θ</m:t>
                    </m:r>
                  </m:sub>
                  <m:sup>
                    <m:r>
                      <w:rPr>
                        <w:rFonts w:ascii="Cambria Math" w:hAnsi="Cambria Math"/>
                      </w:rPr>
                      <m:t>2</m:t>
                    </m:r>
                  </m:sup>
                </m:sSubSup>
              </m:oMath>
            </m:oMathPara>
          </w:p>
        </w:tc>
      </w:tr>
      <w:tr w:rsidR="00AF76C0" w14:paraId="13974900" w14:textId="77777777">
        <w:tc>
          <w:tcPr>
            <w:tcW w:w="0" w:type="auto"/>
          </w:tcPr>
          <w:p w14:paraId="015D40D3" w14:textId="77777777" w:rsidR="00AF76C0" w:rsidRDefault="00000000">
            <w:pPr>
              <w:pStyle w:val="Compact"/>
            </w:pPr>
            <w:r>
              <w:t>Cochrane Bayesian</w:t>
            </w:r>
          </w:p>
        </w:tc>
        <w:tc>
          <w:tcPr>
            <w:tcW w:w="0" w:type="auto"/>
          </w:tcPr>
          <w:p w14:paraId="718C7E92" w14:textId="77777777" w:rsidR="00AF76C0" w:rsidRDefault="00000000">
            <w:pPr>
              <w:pStyle w:val="Compact"/>
            </w:pPr>
            <w:r>
              <w:t>LAMBDA</w:t>
            </w:r>
          </w:p>
        </w:tc>
        <w:tc>
          <w:tcPr>
            <w:tcW w:w="0" w:type="auto"/>
          </w:tcPr>
          <w:p w14:paraId="35E08F6B" w14:textId="77777777" w:rsidR="00AF76C0" w:rsidRDefault="00000000">
            <w:pPr>
              <w:pStyle w:val="Compact"/>
            </w:pPr>
            <w:r>
              <w:t>THETA</w:t>
            </w:r>
          </w:p>
        </w:tc>
        <w:tc>
          <w:tcPr>
            <w:tcW w:w="0" w:type="auto"/>
          </w:tcPr>
          <w:p w14:paraId="02EABBCA" w14:textId="77777777" w:rsidR="00AF76C0" w:rsidRDefault="00000000">
            <w:pPr>
              <w:pStyle w:val="Compact"/>
            </w:pPr>
            <w:r>
              <w:t>beta</w:t>
            </w:r>
          </w:p>
        </w:tc>
        <w:tc>
          <w:tcPr>
            <w:tcW w:w="0" w:type="auto"/>
          </w:tcPr>
          <w:p w14:paraId="0232E58A" w14:textId="77777777" w:rsidR="00AF76C0" w:rsidRDefault="00000000">
            <w:pPr>
              <w:pStyle w:val="Compact"/>
            </w:pPr>
            <w:r>
              <w:t>tau.sq[1]</w:t>
            </w:r>
          </w:p>
        </w:tc>
        <w:tc>
          <w:tcPr>
            <w:tcW w:w="0" w:type="auto"/>
          </w:tcPr>
          <w:p w14:paraId="759C989A" w14:textId="77777777" w:rsidR="00AF76C0" w:rsidRDefault="00000000">
            <w:pPr>
              <w:pStyle w:val="Compact"/>
            </w:pPr>
            <w:r>
              <w:t>tau.sq[2]</w:t>
            </w:r>
          </w:p>
        </w:tc>
      </w:tr>
      <w:tr w:rsidR="00AF76C0" w14:paraId="4596A912" w14:textId="77777777">
        <w:tc>
          <w:tcPr>
            <w:tcW w:w="0" w:type="auto"/>
          </w:tcPr>
          <w:p w14:paraId="2DD836FB" w14:textId="77777777" w:rsidR="00AF76C0" w:rsidRDefault="00000000">
            <w:pPr>
              <w:pStyle w:val="Compact"/>
            </w:pPr>
            <w:r>
              <w:t>MetaBayesDTA</w:t>
            </w:r>
          </w:p>
        </w:tc>
        <w:tc>
          <w:tcPr>
            <w:tcW w:w="0" w:type="auto"/>
          </w:tcPr>
          <w:p w14:paraId="5AC1F494" w14:textId="77777777" w:rsidR="00AF76C0" w:rsidRDefault="00000000">
            <w:pPr>
              <w:pStyle w:val="Compact"/>
            </w:pPr>
            <m:oMathPara>
              <m:oMath>
                <m:r>
                  <w:rPr>
                    <w:rFonts w:ascii="Cambria Math" w:hAnsi="Cambria Math"/>
                  </w:rPr>
                  <m:t>Λ</m:t>
                </m:r>
              </m:oMath>
            </m:oMathPara>
          </w:p>
        </w:tc>
        <w:tc>
          <w:tcPr>
            <w:tcW w:w="0" w:type="auto"/>
          </w:tcPr>
          <w:p w14:paraId="5DD0B0D9" w14:textId="77777777" w:rsidR="00AF76C0" w:rsidRDefault="00000000">
            <w:pPr>
              <w:pStyle w:val="Compact"/>
            </w:pPr>
            <m:oMathPara>
              <m:oMath>
                <m:r>
                  <w:rPr>
                    <w:rFonts w:ascii="Cambria Math" w:hAnsi="Cambria Math"/>
                  </w:rPr>
                  <m:t>Θ</m:t>
                </m:r>
              </m:oMath>
            </m:oMathPara>
          </w:p>
        </w:tc>
        <w:tc>
          <w:tcPr>
            <w:tcW w:w="0" w:type="auto"/>
          </w:tcPr>
          <w:p w14:paraId="2A1D61EE" w14:textId="77777777" w:rsidR="00AF76C0" w:rsidRDefault="00000000">
            <w:pPr>
              <w:pStyle w:val="Compact"/>
            </w:pPr>
            <m:oMathPara>
              <m:oMath>
                <m:r>
                  <w:rPr>
                    <w:rFonts w:ascii="Cambria Math" w:hAnsi="Cambria Math"/>
                  </w:rPr>
                  <m:t>β</m:t>
                </m:r>
              </m:oMath>
            </m:oMathPara>
          </w:p>
        </w:tc>
        <w:tc>
          <w:tcPr>
            <w:tcW w:w="0" w:type="auto"/>
          </w:tcPr>
          <w:p w14:paraId="4442ACEB"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α</m:t>
                    </m:r>
                  </m:sub>
                  <m:sup>
                    <m:r>
                      <w:rPr>
                        <w:rFonts w:ascii="Cambria Math" w:hAnsi="Cambria Math"/>
                      </w:rPr>
                      <m:t>2</m:t>
                    </m:r>
                  </m:sup>
                </m:sSubSup>
              </m:oMath>
            </m:oMathPara>
          </w:p>
        </w:tc>
        <w:tc>
          <w:tcPr>
            <w:tcW w:w="0" w:type="auto"/>
          </w:tcPr>
          <w:p w14:paraId="4CF09BD2"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θ</m:t>
                    </m:r>
                  </m:sub>
                  <m:sup>
                    <m:r>
                      <w:rPr>
                        <w:rFonts w:ascii="Cambria Math" w:hAnsi="Cambria Math"/>
                      </w:rPr>
                      <m:t>2</m:t>
                    </m:r>
                  </m:sup>
                </m:sSubSup>
              </m:oMath>
            </m:oMathPara>
          </w:p>
        </w:tc>
      </w:tr>
    </w:tbl>
    <w:p w14:paraId="3FE0F2F4" w14:textId="77777777" w:rsidR="00AF76C0" w:rsidRDefault="00000000">
      <w:pPr>
        <w:pStyle w:val="Heading3"/>
      </w:pPr>
      <w:bookmarkStart w:id="30" w:name="shape-of-sroc-curve-beta"/>
      <w:bookmarkStart w:id="31" w:name="_Toc153208224"/>
      <w:r>
        <w:rPr>
          <w:rStyle w:val="SectionNumber"/>
        </w:rPr>
        <w:t>3.2.1</w:t>
      </w:r>
      <w:r>
        <w:tab/>
        <w:t>Shape of SROC curve (</w:t>
      </w:r>
      <m:oMath>
        <m:r>
          <m:rPr>
            <m:sty m:val="bi"/>
          </m:rPr>
          <w:rPr>
            <w:rFonts w:ascii="Cambria Math" w:hAnsi="Cambria Math"/>
          </w:rPr>
          <m:t>β</m:t>
        </m:r>
      </m:oMath>
      <w:r>
        <w:t>)</w:t>
      </w:r>
      <w:bookmarkEnd w:id="31"/>
    </w:p>
    <w:tbl>
      <w:tblPr>
        <w:tblStyle w:val="Table"/>
        <w:tblW w:w="5000" w:type="pct"/>
        <w:tblLook w:val="0020" w:firstRow="1" w:lastRow="0" w:firstColumn="0" w:lastColumn="0" w:noHBand="0" w:noVBand="0"/>
      </w:tblPr>
      <w:tblGrid>
        <w:gridCol w:w="2387"/>
        <w:gridCol w:w="1127"/>
        <w:gridCol w:w="2181"/>
        <w:gridCol w:w="1950"/>
        <w:gridCol w:w="1931"/>
      </w:tblGrid>
      <w:tr w:rsidR="00AF76C0" w14:paraId="79022DF5"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33D54532" w14:textId="77777777" w:rsidR="00AF76C0" w:rsidRDefault="00AF76C0">
            <w:pPr>
              <w:pStyle w:val="Compact"/>
            </w:pPr>
          </w:p>
        </w:tc>
        <w:tc>
          <w:tcPr>
            <w:tcW w:w="0" w:type="auto"/>
          </w:tcPr>
          <w:p w14:paraId="17CC5EBE" w14:textId="77777777" w:rsidR="00AF76C0" w:rsidRDefault="00000000">
            <w:pPr>
              <w:pStyle w:val="Compact"/>
            </w:pPr>
            <w:r>
              <w:t>Estimate</w:t>
            </w:r>
          </w:p>
        </w:tc>
        <w:tc>
          <w:tcPr>
            <w:tcW w:w="0" w:type="auto"/>
          </w:tcPr>
          <w:p w14:paraId="165B4EC1" w14:textId="77777777" w:rsidR="00AF76C0" w:rsidRDefault="00000000">
            <w:pPr>
              <w:pStyle w:val="Compact"/>
            </w:pPr>
            <w:r>
              <w:t>Standard deviation</w:t>
            </w:r>
          </w:p>
        </w:tc>
        <w:tc>
          <w:tcPr>
            <w:tcW w:w="0" w:type="auto"/>
          </w:tcPr>
          <w:p w14:paraId="47E910A3" w14:textId="77777777" w:rsidR="00AF76C0" w:rsidRDefault="00000000">
            <w:pPr>
              <w:pStyle w:val="Compact"/>
            </w:pPr>
            <w:r>
              <w:t>Lower 95% limit</w:t>
            </w:r>
          </w:p>
        </w:tc>
        <w:tc>
          <w:tcPr>
            <w:tcW w:w="0" w:type="auto"/>
          </w:tcPr>
          <w:p w14:paraId="533024D7" w14:textId="77777777" w:rsidR="00AF76C0" w:rsidRDefault="00000000">
            <w:pPr>
              <w:pStyle w:val="Compact"/>
            </w:pPr>
            <w:r>
              <w:t>Upper 95% limit</w:t>
            </w:r>
          </w:p>
        </w:tc>
      </w:tr>
      <w:tr w:rsidR="00AF76C0" w14:paraId="42E484C6" w14:textId="77777777">
        <w:tc>
          <w:tcPr>
            <w:tcW w:w="0" w:type="auto"/>
          </w:tcPr>
          <w:p w14:paraId="63AA18BF" w14:textId="77777777" w:rsidR="00AF76C0" w:rsidRDefault="00000000">
            <w:pPr>
              <w:pStyle w:val="Compact"/>
            </w:pPr>
            <w:r>
              <w:t>Cochrane frequentist</w:t>
            </w:r>
          </w:p>
        </w:tc>
        <w:tc>
          <w:tcPr>
            <w:tcW w:w="0" w:type="auto"/>
          </w:tcPr>
          <w:p w14:paraId="0F844443" w14:textId="77777777" w:rsidR="00AF76C0" w:rsidRDefault="00000000">
            <w:pPr>
              <w:pStyle w:val="Compact"/>
            </w:pPr>
            <w:r>
              <w:t>0.2267</w:t>
            </w:r>
          </w:p>
        </w:tc>
        <w:tc>
          <w:tcPr>
            <w:tcW w:w="0" w:type="auto"/>
          </w:tcPr>
          <w:p w14:paraId="603B6EE4" w14:textId="77777777" w:rsidR="00AF76C0" w:rsidRDefault="00000000">
            <w:pPr>
              <w:pStyle w:val="Compact"/>
            </w:pPr>
            <w:r>
              <w:t>0.1624</w:t>
            </w:r>
          </w:p>
        </w:tc>
        <w:tc>
          <w:tcPr>
            <w:tcW w:w="0" w:type="auto"/>
          </w:tcPr>
          <w:p w14:paraId="631A15A4" w14:textId="77777777" w:rsidR="00AF76C0" w:rsidRDefault="00000000">
            <w:pPr>
              <w:pStyle w:val="Compact"/>
            </w:pPr>
            <w:r>
              <w:t>NA</w:t>
            </w:r>
          </w:p>
        </w:tc>
        <w:tc>
          <w:tcPr>
            <w:tcW w:w="0" w:type="auto"/>
          </w:tcPr>
          <w:p w14:paraId="7ABD153B" w14:textId="77777777" w:rsidR="00AF76C0" w:rsidRDefault="00000000">
            <w:pPr>
              <w:pStyle w:val="Compact"/>
            </w:pPr>
            <w:r>
              <w:t>NA</w:t>
            </w:r>
          </w:p>
        </w:tc>
      </w:tr>
      <w:tr w:rsidR="00AF76C0" w14:paraId="1415E84F" w14:textId="77777777">
        <w:tc>
          <w:tcPr>
            <w:tcW w:w="0" w:type="auto"/>
          </w:tcPr>
          <w:p w14:paraId="53C68203" w14:textId="77777777" w:rsidR="00AF76C0" w:rsidRDefault="00000000">
            <w:pPr>
              <w:pStyle w:val="Compact"/>
            </w:pPr>
            <w:r>
              <w:t>Cochrane Bayesian</w:t>
            </w:r>
          </w:p>
        </w:tc>
        <w:tc>
          <w:tcPr>
            <w:tcW w:w="0" w:type="auto"/>
          </w:tcPr>
          <w:p w14:paraId="01767E04" w14:textId="77777777" w:rsidR="00AF76C0" w:rsidRDefault="00000000">
            <w:pPr>
              <w:pStyle w:val="Compact"/>
            </w:pPr>
            <w:r>
              <w:t>0.2189</w:t>
            </w:r>
          </w:p>
        </w:tc>
        <w:tc>
          <w:tcPr>
            <w:tcW w:w="0" w:type="auto"/>
          </w:tcPr>
          <w:p w14:paraId="39CD1986" w14:textId="77777777" w:rsidR="00AF76C0" w:rsidRDefault="00000000">
            <w:pPr>
              <w:pStyle w:val="Compact"/>
            </w:pPr>
            <w:r>
              <w:t>0.1630</w:t>
            </w:r>
          </w:p>
        </w:tc>
        <w:tc>
          <w:tcPr>
            <w:tcW w:w="0" w:type="auto"/>
          </w:tcPr>
          <w:p w14:paraId="0C58FAC2" w14:textId="77777777" w:rsidR="00AF76C0" w:rsidRDefault="00000000">
            <w:pPr>
              <w:pStyle w:val="Compact"/>
            </w:pPr>
            <w:r>
              <w:t>-0.1066</w:t>
            </w:r>
          </w:p>
        </w:tc>
        <w:tc>
          <w:tcPr>
            <w:tcW w:w="0" w:type="auto"/>
          </w:tcPr>
          <w:p w14:paraId="4C989195" w14:textId="77777777" w:rsidR="00AF76C0" w:rsidRDefault="00000000">
            <w:pPr>
              <w:pStyle w:val="Compact"/>
            </w:pPr>
            <w:r>
              <w:t>0.5348</w:t>
            </w:r>
          </w:p>
        </w:tc>
      </w:tr>
      <w:tr w:rsidR="00AF76C0" w14:paraId="5B2485F5" w14:textId="77777777">
        <w:tc>
          <w:tcPr>
            <w:tcW w:w="0" w:type="auto"/>
          </w:tcPr>
          <w:p w14:paraId="277DD6BF" w14:textId="77777777" w:rsidR="00AF76C0" w:rsidRDefault="00000000">
            <w:pPr>
              <w:pStyle w:val="Compact"/>
            </w:pPr>
            <w:r>
              <w:t>MetaBayesDTA</w:t>
            </w:r>
          </w:p>
        </w:tc>
        <w:tc>
          <w:tcPr>
            <w:tcW w:w="0" w:type="auto"/>
          </w:tcPr>
          <w:p w14:paraId="21A43222" w14:textId="77777777" w:rsidR="00AF76C0" w:rsidRDefault="00000000">
            <w:pPr>
              <w:pStyle w:val="Compact"/>
            </w:pPr>
            <w:r>
              <w:t>0.2270</w:t>
            </w:r>
          </w:p>
        </w:tc>
        <w:tc>
          <w:tcPr>
            <w:tcW w:w="0" w:type="auto"/>
          </w:tcPr>
          <w:p w14:paraId="3324068A" w14:textId="77777777" w:rsidR="00AF76C0" w:rsidRDefault="00000000">
            <w:pPr>
              <w:pStyle w:val="Compact"/>
            </w:pPr>
            <w:r>
              <w:t>0.1589</w:t>
            </w:r>
          </w:p>
        </w:tc>
        <w:tc>
          <w:tcPr>
            <w:tcW w:w="0" w:type="auto"/>
          </w:tcPr>
          <w:p w14:paraId="081B9ADA" w14:textId="77777777" w:rsidR="00AF76C0" w:rsidRDefault="00000000">
            <w:pPr>
              <w:pStyle w:val="Compact"/>
            </w:pPr>
            <w:r>
              <w:t>-0.0970</w:t>
            </w:r>
          </w:p>
        </w:tc>
        <w:tc>
          <w:tcPr>
            <w:tcW w:w="0" w:type="auto"/>
          </w:tcPr>
          <w:p w14:paraId="261051F2" w14:textId="77777777" w:rsidR="00AF76C0" w:rsidRDefault="00000000">
            <w:pPr>
              <w:pStyle w:val="Compact"/>
            </w:pPr>
            <w:r>
              <w:t>0.5360</w:t>
            </w:r>
          </w:p>
        </w:tc>
      </w:tr>
    </w:tbl>
    <w:p w14:paraId="2333E810" w14:textId="77777777" w:rsidR="00AF76C0" w:rsidRDefault="00000000">
      <w:pPr>
        <w:pStyle w:val="BodyText"/>
      </w:pPr>
      <w:r>
        <w:lastRenderedPageBreak/>
        <w:t xml:space="preserve">There are four ways to estimate the standard deviation of </w:t>
      </w:r>
      <m:oMath>
        <m:r>
          <w:rPr>
            <w:rFonts w:ascii="Cambria Math" w:hAnsi="Cambria Math"/>
          </w:rPr>
          <m:t>β</m:t>
        </m:r>
      </m:oMath>
      <w:r>
        <w:t xml:space="preserve">, since there is a sensitivity equation (defined by </w:t>
      </w:r>
      <m:oMath>
        <m:r>
          <w:rPr>
            <w:rFonts w:ascii="Cambria Math" w:hAnsi="Cambria Math"/>
          </w:rPr>
          <m:t>j</m:t>
        </m:r>
        <m:r>
          <m:rPr>
            <m:sty m:val="p"/>
          </m:rPr>
          <w:rPr>
            <w:rFonts w:ascii="Cambria Math" w:hAnsi="Cambria Math"/>
          </w:rPr>
          <m:t>=</m:t>
        </m:r>
        <m:r>
          <w:rPr>
            <w:rFonts w:ascii="Cambria Math" w:hAnsi="Cambria Math"/>
          </w:rPr>
          <m:t>1</m:t>
        </m:r>
      </m:oMath>
      <w:r>
        <w:t xml:space="preserve"> in the model definition) and a specificity equation (</w:t>
      </w:r>
      <m:oMath>
        <m:r>
          <w:rPr>
            <w:rFonts w:ascii="Cambria Math" w:hAnsi="Cambria Math"/>
          </w:rPr>
          <m:t>j</m:t>
        </m:r>
        <m:r>
          <m:rPr>
            <m:sty m:val="p"/>
          </m:rPr>
          <w:rPr>
            <w:rFonts w:ascii="Cambria Math" w:hAnsi="Cambria Math"/>
          </w:rPr>
          <m:t>=</m:t>
        </m:r>
        <m:r>
          <w:rPr>
            <w:rFonts w:ascii="Cambria Math" w:hAnsi="Cambria Math"/>
          </w:rPr>
          <m:t>2</m:t>
        </m:r>
      </m:oMath>
      <w:r>
        <w:t>), and two limits of the posterior interval. These four estimates are</w:t>
      </w:r>
    </w:p>
    <w:p w14:paraId="195A8269" w14:textId="77777777" w:rsidR="00AF76C0" w:rsidRDefault="00000000">
      <w:pPr>
        <w:pStyle w:val="BodyText"/>
      </w:pPr>
      <m:oMathPara>
        <m:oMathParaPr>
          <m:jc m:val="center"/>
        </m:oMathParaPr>
        <m:oMath>
          <m:m>
            <m:mPr>
              <m:plcHide m:val="1"/>
              <m:mcs>
                <m:mc>
                  <m:mcPr>
                    <m:count m:val="1"/>
                    <m:mcJc m:val="right"/>
                  </m:mcPr>
                </m:mc>
                <m:mc>
                  <m:mcPr>
                    <m:count m:val="1"/>
                    <m:mcJc m:val="left"/>
                  </m:mcPr>
                </m:mc>
                <m:mc>
                  <m:mcPr>
                    <m:count m:val="1"/>
                    <m:mcJc m:val="right"/>
                  </m:mcPr>
                </m:mc>
              </m:mcs>
              <m:ctrlPr>
                <w:rPr>
                  <w:rFonts w:ascii="Cambria Math" w:hAnsi="Cambria Math"/>
                </w:rPr>
              </m:ctrlPr>
            </m:mPr>
            <m:mr>
              <m:e>
                <m:r>
                  <m:rPr>
                    <m:nor/>
                  </m:rPr>
                  <m:t xml:space="preserve">Sensitivity equation, upper limit: </m:t>
                </m:r>
                <m:r>
                  <w:rPr>
                    <w:rFonts w:ascii="Cambria Math" w:hAnsi="Cambria Math"/>
                  </w:rPr>
                  <m:t> </m:t>
                </m:r>
              </m:e>
              <m:e>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0.536</m:t>
                        </m:r>
                        <m:r>
                          <m:rPr>
                            <m:sty m:val="p"/>
                          </m:rPr>
                          <w:rPr>
                            <w:rFonts w:ascii="Cambria Math" w:hAnsi="Cambria Math"/>
                          </w:rPr>
                          <m:t>-</m:t>
                        </m:r>
                        <m:r>
                          <w:rPr>
                            <w:rFonts w:ascii="Cambria Math" w:hAnsi="Cambria Math"/>
                          </w:rPr>
                          <m:t>0.227</m:t>
                        </m:r>
                      </m:e>
                    </m:d>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1</m:t>
                </m:r>
              </m:e>
              <m:e>
                <m:r>
                  <m:rPr>
                    <m:sty m:val="p"/>
                  </m:rPr>
                  <w:rPr>
                    <w:rFonts w:ascii="Cambria Math" w:hAnsi="Cambria Math"/>
                  </w:rPr>
                  <m:t>=</m:t>
                </m:r>
                <m:r>
                  <w:rPr>
                    <w:rFonts w:ascii="Cambria Math" w:hAnsi="Cambria Math"/>
                  </w:rPr>
                  <m:t>0.1671</m:t>
                </m:r>
              </m:e>
            </m:mr>
            <m:mr>
              <m:e>
                <m:r>
                  <m:rPr>
                    <m:nor/>
                  </m:rPr>
                  <m:t xml:space="preserve">Sensitivity equation, lower limit: </m:t>
                </m:r>
                <m:r>
                  <w:rPr>
                    <w:rFonts w:ascii="Cambria Math" w:hAnsi="Cambria Math"/>
                  </w:rPr>
                  <m:t> </m:t>
                </m:r>
              </m:e>
              <m:e>
                <m:r>
                  <w:rPr>
                    <w:rFonts w:ascii="Cambria Math" w:hAnsi="Cambria Math"/>
                  </w:rPr>
                  <m:t>1</m:t>
                </m:r>
                <m:r>
                  <m:rPr>
                    <m:sty m:val="p"/>
                  </m:rPr>
                  <w:rPr>
                    <w:rFonts w:ascii="Cambria Math" w:hAnsi="Cambria Math"/>
                  </w:rPr>
                  <m:t>-exp</m:t>
                </m:r>
                <m:d>
                  <m:dPr>
                    <m:ctrlPr>
                      <w:rPr>
                        <w:rFonts w:ascii="Cambria Math" w:hAnsi="Cambria Math"/>
                      </w:rPr>
                    </m:ctrlPr>
                  </m:dPr>
                  <m:e>
                    <m:d>
                      <m:dPr>
                        <m:ctrlPr>
                          <w:rPr>
                            <w:rFonts w:ascii="Cambria Math" w:hAnsi="Cambria Math"/>
                          </w:rPr>
                        </m:ctrlPr>
                      </m:dPr>
                      <m:e>
                        <m:r>
                          <m:rPr>
                            <m:sty m:val="p"/>
                          </m:rPr>
                          <w:rPr>
                            <w:rFonts w:ascii="Cambria Math" w:hAnsi="Cambria Math"/>
                          </w:rPr>
                          <m:t>-</m:t>
                        </m:r>
                        <m:r>
                          <w:rPr>
                            <w:rFonts w:ascii="Cambria Math" w:hAnsi="Cambria Math"/>
                          </w:rPr>
                          <m:t>0.097</m:t>
                        </m:r>
                        <m:r>
                          <m:rPr>
                            <m:sty m:val="p"/>
                          </m:rPr>
                          <w:rPr>
                            <w:rFonts w:ascii="Cambria Math" w:hAnsi="Cambria Math"/>
                          </w:rPr>
                          <m:t>-</m:t>
                        </m:r>
                        <m:r>
                          <w:rPr>
                            <w:rFonts w:ascii="Cambria Math" w:hAnsi="Cambria Math"/>
                          </w:rPr>
                          <m:t>0.227</m:t>
                        </m:r>
                      </m:e>
                    </m:d>
                    <m:r>
                      <m:rPr>
                        <m:sty m:val="p"/>
                      </m:rPr>
                      <w:rPr>
                        <w:rFonts w:ascii="Cambria Math" w:hAnsi="Cambria Math"/>
                      </w:rPr>
                      <m:t>/</m:t>
                    </m:r>
                    <m:r>
                      <w:rPr>
                        <w:rFonts w:ascii="Cambria Math" w:hAnsi="Cambria Math"/>
                      </w:rPr>
                      <m:t>2</m:t>
                    </m:r>
                  </m:e>
                </m:d>
              </m:e>
              <m:e>
                <m:r>
                  <m:rPr>
                    <m:sty m:val="p"/>
                  </m:rPr>
                  <w:rPr>
                    <w:rFonts w:ascii="Cambria Math" w:hAnsi="Cambria Math"/>
                  </w:rPr>
                  <m:t>=</m:t>
                </m:r>
                <m:r>
                  <w:rPr>
                    <w:rFonts w:ascii="Cambria Math" w:hAnsi="Cambria Math"/>
                  </w:rPr>
                  <m:t>0.1496</m:t>
                </m:r>
              </m:e>
            </m:mr>
            <m:mr>
              <m:e>
                <m:r>
                  <m:rPr>
                    <m:nor/>
                  </m:rPr>
                  <m:t xml:space="preserve">Specificity equation, upper limit: </m:t>
                </m:r>
                <m:r>
                  <w:rPr>
                    <w:rFonts w:ascii="Cambria Math" w:hAnsi="Cambria Math"/>
                  </w:rPr>
                  <m:t> </m:t>
                </m:r>
              </m:e>
              <m:e>
                <m:r>
                  <w:rPr>
                    <w:rFonts w:ascii="Cambria Math" w:hAnsi="Cambria Math"/>
                  </w:rPr>
                  <m:t>1</m:t>
                </m:r>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0.227</m:t>
                        </m:r>
                        <m:r>
                          <m:rPr>
                            <m:sty m:val="p"/>
                          </m:rPr>
                          <w:rPr>
                            <w:rFonts w:ascii="Cambria Math" w:hAnsi="Cambria Math"/>
                          </w:rPr>
                          <m:t>-</m:t>
                        </m:r>
                        <m:r>
                          <w:rPr>
                            <w:rFonts w:ascii="Cambria Math" w:hAnsi="Cambria Math"/>
                          </w:rPr>
                          <m:t>0.536</m:t>
                        </m:r>
                      </m:e>
                    </m:d>
                    <m:r>
                      <m:rPr>
                        <m:sty m:val="p"/>
                      </m:rPr>
                      <w:rPr>
                        <w:rFonts w:ascii="Cambria Math" w:hAnsi="Cambria Math"/>
                      </w:rPr>
                      <m:t>/</m:t>
                    </m:r>
                    <m:r>
                      <w:rPr>
                        <w:rFonts w:ascii="Cambria Math" w:hAnsi="Cambria Math"/>
                      </w:rPr>
                      <m:t>2</m:t>
                    </m:r>
                  </m:e>
                </m:d>
              </m:e>
              <m:e>
                <m:r>
                  <m:rPr>
                    <m:sty m:val="p"/>
                  </m:rPr>
                  <w:rPr>
                    <w:rFonts w:ascii="Cambria Math" w:hAnsi="Cambria Math"/>
                  </w:rPr>
                  <m:t>=</m:t>
                </m:r>
                <m:r>
                  <w:rPr>
                    <w:rFonts w:ascii="Cambria Math" w:hAnsi="Cambria Math"/>
                  </w:rPr>
                  <m:t>0.1432</m:t>
                </m:r>
              </m:e>
            </m:mr>
            <m:mr>
              <m:e>
                <m:r>
                  <m:rPr>
                    <m:nor/>
                  </m:rPr>
                  <m:t xml:space="preserve">Specificity equation, lower limit: </m:t>
                </m:r>
                <m:r>
                  <w:rPr>
                    <w:rFonts w:ascii="Cambria Math" w:hAnsi="Cambria Math"/>
                  </w:rPr>
                  <m:t> </m:t>
                </m:r>
              </m:e>
              <m:e>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0.227</m:t>
                        </m:r>
                        <m:r>
                          <m:rPr>
                            <m:sty m:val="p"/>
                          </m:rPr>
                          <w:rPr>
                            <w:rFonts w:ascii="Cambria Math" w:hAnsi="Cambria Math"/>
                          </w:rPr>
                          <m:t>--</m:t>
                        </m:r>
                        <m:r>
                          <w:rPr>
                            <w:rFonts w:ascii="Cambria Math" w:hAnsi="Cambria Math"/>
                          </w:rPr>
                          <m:t>0.097</m:t>
                        </m:r>
                      </m:e>
                    </m:d>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1</m:t>
                </m:r>
              </m:e>
              <m:e>
                <m:r>
                  <m:rPr>
                    <m:sty m:val="p"/>
                  </m:rPr>
                  <w:rPr>
                    <w:rFonts w:ascii="Cambria Math" w:hAnsi="Cambria Math"/>
                  </w:rPr>
                  <m:t>=</m:t>
                </m:r>
                <m:r>
                  <w:rPr>
                    <w:rFonts w:ascii="Cambria Math" w:hAnsi="Cambria Math"/>
                  </w:rPr>
                  <m:t>0.1759</m:t>
                </m:r>
              </m:e>
            </m:mr>
          </m:m>
        </m:oMath>
      </m:oMathPara>
    </w:p>
    <w:p w14:paraId="4049AC65" w14:textId="77777777" w:rsidR="00AF76C0" w:rsidRDefault="00000000">
      <w:pPr>
        <w:pStyle w:val="FirstParagraph"/>
      </w:pPr>
      <w:r>
        <w:t>The mean of the estimates can be taken as the overall estimate:</w:t>
      </w:r>
    </w:p>
    <w:p w14:paraId="656765A6" w14:textId="77777777" w:rsidR="00AF76C0" w:rsidRDefault="00000000">
      <w:pPr>
        <w:pStyle w:val="BodyText"/>
      </w:pPr>
      <m:oMathPara>
        <m:oMathParaPr>
          <m:jc m:val="center"/>
        </m:oMathParaPr>
        <m:oMath>
          <m:d>
            <m:dPr>
              <m:ctrlPr>
                <w:rPr>
                  <w:rFonts w:ascii="Cambria Math" w:hAnsi="Cambria Math"/>
                </w:rPr>
              </m:ctrlPr>
            </m:dPr>
            <m:e>
              <m:r>
                <w:rPr>
                  <w:rFonts w:ascii="Cambria Math" w:hAnsi="Cambria Math"/>
                </w:rPr>
                <m:t>0.1671</m:t>
              </m:r>
              <m:r>
                <m:rPr>
                  <m:sty m:val="p"/>
                </m:rPr>
                <w:rPr>
                  <w:rFonts w:ascii="Cambria Math" w:hAnsi="Cambria Math"/>
                </w:rPr>
                <m:t>+</m:t>
              </m:r>
              <m:r>
                <w:rPr>
                  <w:rFonts w:ascii="Cambria Math" w:hAnsi="Cambria Math"/>
                </w:rPr>
                <m:t>0.1496</m:t>
              </m:r>
              <m:r>
                <m:rPr>
                  <m:sty m:val="p"/>
                </m:rPr>
                <w:rPr>
                  <w:rFonts w:ascii="Cambria Math" w:hAnsi="Cambria Math"/>
                </w:rPr>
                <m:t>+</m:t>
              </m:r>
              <m:r>
                <w:rPr>
                  <w:rFonts w:ascii="Cambria Math" w:hAnsi="Cambria Math"/>
                </w:rPr>
                <m:t>0.1432</m:t>
              </m:r>
              <m:r>
                <m:rPr>
                  <m:sty m:val="p"/>
                </m:rPr>
                <w:rPr>
                  <w:rFonts w:ascii="Cambria Math" w:hAnsi="Cambria Math"/>
                </w:rPr>
                <m:t>+</m:t>
              </m:r>
              <m:r>
                <w:rPr>
                  <w:rFonts w:ascii="Cambria Math" w:hAnsi="Cambria Math"/>
                </w:rPr>
                <m:t>0.1759</m:t>
              </m:r>
            </m:e>
          </m:d>
          <m:r>
            <m:rPr>
              <m:sty m:val="p"/>
            </m:rPr>
            <w:rPr>
              <w:rFonts w:ascii="Cambria Math" w:hAnsi="Cambria Math"/>
            </w:rPr>
            <m:t>/</m:t>
          </m:r>
          <m:r>
            <w:rPr>
              <w:rFonts w:ascii="Cambria Math" w:hAnsi="Cambria Math"/>
            </w:rPr>
            <m:t>4</m:t>
          </m:r>
          <m:r>
            <m:rPr>
              <m:sty m:val="p"/>
            </m:rPr>
            <w:rPr>
              <w:rFonts w:ascii="Cambria Math" w:hAnsi="Cambria Math"/>
            </w:rPr>
            <m:t>=</m:t>
          </m:r>
          <m:r>
            <w:rPr>
              <w:rFonts w:ascii="Cambria Math" w:hAnsi="Cambria Math"/>
            </w:rPr>
            <m:t>0.1589</m:t>
          </m:r>
        </m:oMath>
      </m:oMathPara>
    </w:p>
    <w:p w14:paraId="4AB36BAB" w14:textId="77777777" w:rsidR="00AF76C0" w:rsidRDefault="00AF76C0">
      <w:pPr>
        <w:pStyle w:val="FirstParagraph"/>
      </w:pPr>
    </w:p>
    <w:p w14:paraId="60365B35" w14:textId="77777777" w:rsidR="00AF76C0" w:rsidRDefault="00000000">
      <w:pPr>
        <w:pStyle w:val="Heading1"/>
      </w:pPr>
      <w:bookmarkStart w:id="32" w:name="bivariateMetaRegression"/>
      <w:bookmarkStart w:id="33" w:name="_Toc153208225"/>
      <w:bookmarkEnd w:id="24"/>
      <w:bookmarkEnd w:id="28"/>
      <w:bookmarkEnd w:id="30"/>
      <w:r>
        <w:rPr>
          <w:rStyle w:val="SectionNumber"/>
        </w:rPr>
        <w:t>4</w:t>
      </w:r>
      <w:r>
        <w:tab/>
        <w:t>Meta-regression in the bivariate model, 9.4.6.3 Example 1 continued: Investigation of heterogeneity in diagnostic performance of anti‐CCP</w:t>
      </w:r>
      <w:bookmarkEnd w:id="33"/>
    </w:p>
    <w:p w14:paraId="2055E329" w14:textId="77777777" w:rsidR="00AF76C0" w:rsidRDefault="00AF76C0">
      <w:pPr>
        <w:pStyle w:val="FirstParagraph"/>
      </w:pPr>
    </w:p>
    <w:p w14:paraId="19F86CBF" w14:textId="77777777" w:rsidR="00AF76C0" w:rsidRDefault="00000000">
      <w:pPr>
        <w:pStyle w:val="BodyText"/>
      </w:pPr>
      <w:r>
        <w:t xml:space="preserve">This is an extension of the model from section 2, using the same data set, </w:t>
      </w:r>
      <w:r>
        <w:rPr>
          <w:i/>
          <w:iCs/>
        </w:rPr>
        <w:t>anti-cpp.csv</w:t>
      </w:r>
      <w:r>
        <w:t>. Only the steps that are different from those in that section are shown.</w:t>
      </w:r>
    </w:p>
    <w:p w14:paraId="6A708E7C" w14:textId="77777777" w:rsidR="00AF76C0" w:rsidRDefault="00AF76C0">
      <w:pPr>
        <w:pStyle w:val="BodyText"/>
      </w:pPr>
    </w:p>
    <w:p w14:paraId="7B17269A" w14:textId="77777777" w:rsidR="00AF76C0" w:rsidRDefault="00000000">
      <w:pPr>
        <w:pStyle w:val="Heading2"/>
      </w:pPr>
      <w:bookmarkStart w:id="34" w:name="format-the-dataset-1"/>
      <w:bookmarkStart w:id="35" w:name="_Toc153208226"/>
      <w:r>
        <w:rPr>
          <w:rStyle w:val="SectionNumber"/>
        </w:rPr>
        <w:t>4.1</w:t>
      </w:r>
      <w:r>
        <w:tab/>
        <w:t>Format the dataset</w:t>
      </w:r>
      <w:bookmarkEnd w:id="35"/>
    </w:p>
    <w:p w14:paraId="4230CFF1" w14:textId="77777777" w:rsidR="00AF76C0" w:rsidRDefault="00AF76C0">
      <w:pPr>
        <w:pStyle w:val="FirstParagraph"/>
      </w:pPr>
    </w:p>
    <w:p w14:paraId="65A61CE7" w14:textId="77777777" w:rsidR="00AF76C0" w:rsidRDefault="00000000">
      <w:pPr>
        <w:pStyle w:val="BodyText"/>
      </w:pPr>
      <w:r>
        <w:t xml:space="preserve">The name of a covariate should end with </w:t>
      </w:r>
      <w:r>
        <w:rPr>
          <w:i/>
          <w:iCs/>
        </w:rPr>
        <w:t>.cat</w:t>
      </w:r>
      <w:r>
        <w:t xml:space="preserve"> for categorical covariates and </w:t>
      </w:r>
      <w:r>
        <w:rPr>
          <w:i/>
          <w:iCs/>
        </w:rPr>
        <w:t>.cts</w:t>
      </w:r>
      <w:r>
        <w:t xml:space="preserve"> for continuous covariates. The covariate in this example is </w:t>
      </w:r>
      <w:r>
        <w:rPr>
          <w:b/>
          <w:bCs/>
        </w:rPr>
        <w:t>Generation</w:t>
      </w:r>
      <w:r>
        <w:t xml:space="preserve">, which should be renamed to </w:t>
      </w:r>
      <w:r>
        <w:rPr>
          <w:b/>
          <w:bCs/>
        </w:rPr>
        <w:t>Generation.cat</w:t>
      </w:r>
      <w:r>
        <w:t>.</w:t>
      </w:r>
    </w:p>
    <w:p w14:paraId="30AFA748" w14:textId="77777777" w:rsidR="00AF76C0" w:rsidRDefault="00AF76C0">
      <w:pPr>
        <w:pStyle w:val="BodyText"/>
      </w:pPr>
    </w:p>
    <w:p w14:paraId="5DB13512" w14:textId="77777777" w:rsidR="00AF76C0" w:rsidRDefault="00000000">
      <w:pPr>
        <w:pStyle w:val="Heading2"/>
      </w:pPr>
      <w:bookmarkStart w:id="36" w:name="analyse-the-data-1"/>
      <w:bookmarkStart w:id="37" w:name="_Toc153208227"/>
      <w:bookmarkEnd w:id="34"/>
      <w:r>
        <w:rPr>
          <w:rStyle w:val="SectionNumber"/>
        </w:rPr>
        <w:t>4.2</w:t>
      </w:r>
      <w:r>
        <w:tab/>
        <w:t>Analyse the data</w:t>
      </w:r>
      <w:bookmarkEnd w:id="37"/>
    </w:p>
    <w:p w14:paraId="724DCB0D" w14:textId="77777777" w:rsidR="00AF76C0" w:rsidRDefault="00AF76C0">
      <w:pPr>
        <w:pStyle w:val="FirstParagraph"/>
      </w:pPr>
    </w:p>
    <w:p w14:paraId="2D73B7EC" w14:textId="77777777" w:rsidR="00AF76C0" w:rsidRDefault="00000000">
      <w:pPr>
        <w:pStyle w:val="BodyText"/>
      </w:pPr>
      <w:r>
        <w:t xml:space="preserve">There is one step different from section 2, to select </w:t>
      </w:r>
      <w:r>
        <w:rPr>
          <w:b/>
          <w:bCs/>
        </w:rPr>
        <w:t>Meta-regression</w:t>
      </w:r>
      <w:r>
        <w:t xml:space="preserve"> instead of </w:t>
      </w:r>
      <w:r>
        <w:rPr>
          <w:b/>
          <w:bCs/>
        </w:rPr>
        <w:t>Meta-analysis</w:t>
      </w:r>
      <w:r>
        <w:t xml:space="preserve">, and one additional step, to select the covariate in the </w:t>
      </w:r>
      <w:r>
        <w:rPr>
          <w:b/>
          <w:bCs/>
        </w:rPr>
        <w:t>Model set up and priors</w:t>
      </w:r>
      <w:r>
        <w:t xml:space="preserve"> tab, which is </w:t>
      </w:r>
      <w:r>
        <w:rPr>
          <w:b/>
          <w:bCs/>
        </w:rPr>
        <w:t>Generation.cat</w:t>
      </w:r>
      <w:r>
        <w:t>.</w:t>
      </w:r>
    </w:p>
    <w:p w14:paraId="4B63987F" w14:textId="77777777" w:rsidR="00AF76C0" w:rsidRDefault="00AF76C0">
      <w:pPr>
        <w:pStyle w:val="BodyText"/>
      </w:pPr>
    </w:p>
    <w:p w14:paraId="46DE3014" w14:textId="77777777" w:rsidR="00AF76C0" w:rsidRDefault="00000000">
      <w:pPr>
        <w:pStyle w:val="BodyText"/>
      </w:pPr>
      <w:r>
        <w:rPr>
          <w:noProof/>
        </w:rPr>
        <w:lastRenderedPageBreak/>
        <w:drawing>
          <wp:inline distT="0" distB="0" distL="0" distR="0" wp14:anchorId="2CB00201" wp14:editId="7749B6C1">
            <wp:extent cx="4800600" cy="2403675"/>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Picture" descr="./Cochrane_DTA_9.4.6.3_example_1/Pictures/Analysis_1.png"/>
                    <pic:cNvPicPr>
                      <a:picLocks noChangeAspect="1" noChangeArrowheads="1"/>
                    </pic:cNvPicPr>
                  </pic:nvPicPr>
                  <pic:blipFill>
                    <a:blip r:embed="rId34"/>
                    <a:stretch>
                      <a:fillRect/>
                    </a:stretch>
                  </pic:blipFill>
                  <pic:spPr bwMode="auto">
                    <a:xfrm>
                      <a:off x="0" y="0"/>
                      <a:ext cx="4800600" cy="2403675"/>
                    </a:xfrm>
                    <a:prstGeom prst="rect">
                      <a:avLst/>
                    </a:prstGeom>
                    <a:noFill/>
                    <a:ln w="9525">
                      <a:noFill/>
                      <a:headEnd/>
                      <a:tailEnd/>
                    </a:ln>
                  </pic:spPr>
                </pic:pic>
              </a:graphicData>
            </a:graphic>
          </wp:inline>
        </w:drawing>
      </w:r>
    </w:p>
    <w:p w14:paraId="54E75757" w14:textId="77777777" w:rsidR="00AF76C0" w:rsidRDefault="00AF76C0">
      <w:pPr>
        <w:pStyle w:val="BodyText"/>
      </w:pPr>
    </w:p>
    <w:p w14:paraId="4A0E89E9" w14:textId="77777777" w:rsidR="00AF76C0" w:rsidRDefault="00000000">
      <w:pPr>
        <w:pStyle w:val="BodyText"/>
      </w:pPr>
      <w:r>
        <w:rPr>
          <w:noProof/>
        </w:rPr>
        <w:drawing>
          <wp:inline distT="0" distB="0" distL="0" distR="0" wp14:anchorId="61F4F482" wp14:editId="0D551CBC">
            <wp:extent cx="4800600" cy="2055702"/>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3" name="Picture" descr="./Cochrane_DTA_9.4.6.3_example_1/Pictures/Analysis_2.png"/>
                    <pic:cNvPicPr>
                      <a:picLocks noChangeAspect="1" noChangeArrowheads="1"/>
                    </pic:cNvPicPr>
                  </pic:nvPicPr>
                  <pic:blipFill>
                    <a:blip r:embed="rId35"/>
                    <a:stretch>
                      <a:fillRect/>
                    </a:stretch>
                  </pic:blipFill>
                  <pic:spPr bwMode="auto">
                    <a:xfrm>
                      <a:off x="0" y="0"/>
                      <a:ext cx="4800600" cy="2055702"/>
                    </a:xfrm>
                    <a:prstGeom prst="rect">
                      <a:avLst/>
                    </a:prstGeom>
                    <a:noFill/>
                    <a:ln w="9525">
                      <a:noFill/>
                      <a:headEnd/>
                      <a:tailEnd/>
                    </a:ln>
                  </pic:spPr>
                </pic:pic>
              </a:graphicData>
            </a:graphic>
          </wp:inline>
        </w:drawing>
      </w:r>
    </w:p>
    <w:p w14:paraId="2ACD794D" w14:textId="77777777" w:rsidR="00AF76C0" w:rsidRDefault="00AF76C0">
      <w:pPr>
        <w:pStyle w:val="BodyText"/>
      </w:pPr>
    </w:p>
    <w:p w14:paraId="27B347A8" w14:textId="77777777" w:rsidR="00AF76C0" w:rsidRDefault="00000000">
      <w:pPr>
        <w:pStyle w:val="Heading2"/>
      </w:pPr>
      <w:bookmarkStart w:id="38" w:name="estimate-the-parameters-optional-2"/>
      <w:bookmarkStart w:id="39" w:name="_Toc153208228"/>
      <w:bookmarkEnd w:id="36"/>
      <w:r>
        <w:rPr>
          <w:rStyle w:val="SectionNumber"/>
        </w:rPr>
        <w:t>4.3</w:t>
      </w:r>
      <w:r>
        <w:tab/>
        <w:t>Estimate the parameters (optional)</w:t>
      </w:r>
      <w:bookmarkEnd w:id="39"/>
    </w:p>
    <w:p w14:paraId="23D0B2DA" w14:textId="77777777" w:rsidR="00AF76C0" w:rsidRDefault="00AF76C0">
      <w:pPr>
        <w:pStyle w:val="FirstParagraph"/>
      </w:pPr>
    </w:p>
    <w:p w14:paraId="186A1F3A" w14:textId="77777777" w:rsidR="00AF76C0" w:rsidRDefault="00000000">
      <w:pPr>
        <w:pStyle w:val="BodyText"/>
      </w:pPr>
      <w:r>
        <w:t xml:space="preserve">There are now three tables of parameter estimates: </w:t>
      </w:r>
      <w:r>
        <w:rPr>
          <w:b/>
          <w:bCs/>
        </w:rPr>
        <w:t>Shared parameters</w:t>
      </w:r>
      <w:r>
        <w:t xml:space="preserve">, </w:t>
      </w:r>
      <w:r>
        <w:rPr>
          <w:b/>
          <w:bCs/>
        </w:rPr>
        <w:t>Group-specific parameters</w:t>
      </w:r>
      <w:r>
        <w:t xml:space="preserve">, and </w:t>
      </w:r>
      <w:r>
        <w:rPr>
          <w:b/>
          <w:bCs/>
        </w:rPr>
        <w:t>Pairwise accuracy differences and ratios</w:t>
      </w:r>
      <w:r>
        <w:t>.</w:t>
      </w:r>
    </w:p>
    <w:p w14:paraId="3A3CB93B" w14:textId="77777777" w:rsidR="00AF76C0" w:rsidRDefault="00AF76C0">
      <w:pPr>
        <w:pStyle w:val="BodyText"/>
      </w:pPr>
    </w:p>
    <w:p w14:paraId="469AD903" w14:textId="77777777" w:rsidR="00AF76C0" w:rsidRDefault="00000000">
      <w:pPr>
        <w:pStyle w:val="BodyText"/>
      </w:pPr>
      <w:r>
        <w:rPr>
          <w:noProof/>
        </w:rPr>
        <w:lastRenderedPageBreak/>
        <w:drawing>
          <wp:inline distT="0" distB="0" distL="0" distR="0" wp14:anchorId="153C154B" wp14:editId="3D098C2D">
            <wp:extent cx="4800600" cy="2572608"/>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7" name="Picture" descr="./Cochrane_DTA_9.4.6.3_example_1/Pictures/Parameters_1.png"/>
                    <pic:cNvPicPr>
                      <a:picLocks noChangeAspect="1" noChangeArrowheads="1"/>
                    </pic:cNvPicPr>
                  </pic:nvPicPr>
                  <pic:blipFill>
                    <a:blip r:embed="rId36"/>
                    <a:stretch>
                      <a:fillRect/>
                    </a:stretch>
                  </pic:blipFill>
                  <pic:spPr bwMode="auto">
                    <a:xfrm>
                      <a:off x="0" y="0"/>
                      <a:ext cx="4800600" cy="2572608"/>
                    </a:xfrm>
                    <a:prstGeom prst="rect">
                      <a:avLst/>
                    </a:prstGeom>
                    <a:noFill/>
                    <a:ln w="9525">
                      <a:noFill/>
                      <a:headEnd/>
                      <a:tailEnd/>
                    </a:ln>
                  </pic:spPr>
                </pic:pic>
              </a:graphicData>
            </a:graphic>
          </wp:inline>
        </w:drawing>
      </w:r>
    </w:p>
    <w:p w14:paraId="3D8413FE" w14:textId="77777777" w:rsidR="00AF76C0" w:rsidRDefault="00AF76C0">
      <w:pPr>
        <w:pStyle w:val="BodyText"/>
      </w:pPr>
    </w:p>
    <w:p w14:paraId="0EFFD131" w14:textId="77777777" w:rsidR="00AF76C0" w:rsidRDefault="00000000">
      <w:pPr>
        <w:pStyle w:val="BodyText"/>
      </w:pPr>
      <w:r>
        <w:rPr>
          <w:noProof/>
        </w:rPr>
        <w:lastRenderedPageBreak/>
        <w:drawing>
          <wp:inline distT="0" distB="0" distL="0" distR="0" wp14:anchorId="32538173" wp14:editId="4899F038">
            <wp:extent cx="4800600" cy="6847648"/>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20" name="Picture" descr="./Cochrane_DTA_9.4.6.3_example_1/Pictures/Parameters_2.png"/>
                    <pic:cNvPicPr>
                      <a:picLocks noChangeAspect="1" noChangeArrowheads="1"/>
                    </pic:cNvPicPr>
                  </pic:nvPicPr>
                  <pic:blipFill>
                    <a:blip r:embed="rId37"/>
                    <a:stretch>
                      <a:fillRect/>
                    </a:stretch>
                  </pic:blipFill>
                  <pic:spPr bwMode="auto">
                    <a:xfrm>
                      <a:off x="0" y="0"/>
                      <a:ext cx="4800600" cy="6847648"/>
                    </a:xfrm>
                    <a:prstGeom prst="rect">
                      <a:avLst/>
                    </a:prstGeom>
                    <a:noFill/>
                    <a:ln w="9525">
                      <a:noFill/>
                      <a:headEnd/>
                      <a:tailEnd/>
                    </a:ln>
                  </pic:spPr>
                </pic:pic>
              </a:graphicData>
            </a:graphic>
          </wp:inline>
        </w:drawing>
      </w:r>
    </w:p>
    <w:p w14:paraId="0708F715" w14:textId="77777777" w:rsidR="00AF76C0" w:rsidRDefault="00AF76C0">
      <w:pPr>
        <w:pStyle w:val="BodyText"/>
      </w:pPr>
    </w:p>
    <w:p w14:paraId="7DFB8F88" w14:textId="77777777" w:rsidR="00AF76C0" w:rsidRDefault="00000000">
      <w:pPr>
        <w:pStyle w:val="BodyText"/>
      </w:pPr>
      <w:r>
        <w:rPr>
          <w:noProof/>
        </w:rPr>
        <w:lastRenderedPageBreak/>
        <w:drawing>
          <wp:inline distT="0" distB="0" distL="0" distR="0" wp14:anchorId="54A16D35" wp14:editId="4FE7746D">
            <wp:extent cx="4800600" cy="186874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3" name="Picture" descr="./Cochrane_DTA_9.4.6.3_example_1/Pictures/Parameters_3.png"/>
                    <pic:cNvPicPr>
                      <a:picLocks noChangeAspect="1" noChangeArrowheads="1"/>
                    </pic:cNvPicPr>
                  </pic:nvPicPr>
                  <pic:blipFill>
                    <a:blip r:embed="rId38"/>
                    <a:stretch>
                      <a:fillRect/>
                    </a:stretch>
                  </pic:blipFill>
                  <pic:spPr bwMode="auto">
                    <a:xfrm>
                      <a:off x="0" y="0"/>
                      <a:ext cx="4800600" cy="1868745"/>
                    </a:xfrm>
                    <a:prstGeom prst="rect">
                      <a:avLst/>
                    </a:prstGeom>
                    <a:noFill/>
                    <a:ln w="9525">
                      <a:noFill/>
                      <a:headEnd/>
                      <a:tailEnd/>
                    </a:ln>
                  </pic:spPr>
                </pic:pic>
              </a:graphicData>
            </a:graphic>
          </wp:inline>
        </w:drawing>
      </w:r>
    </w:p>
    <w:p w14:paraId="36BE495F" w14:textId="77777777" w:rsidR="00AF76C0" w:rsidRDefault="00AF76C0">
      <w:pPr>
        <w:pStyle w:val="BodyText"/>
      </w:pPr>
    </w:p>
    <w:p w14:paraId="3D1189D1" w14:textId="77777777" w:rsidR="00AF76C0" w:rsidRDefault="00000000">
      <w:pPr>
        <w:pStyle w:val="BodyText"/>
      </w:pPr>
      <w:r>
        <w:t>In the handbook, the parameter estimates from the frequentist model are on page 25 of chapter 9:</w:t>
      </w:r>
    </w:p>
    <w:p w14:paraId="64E0FBA1" w14:textId="77777777" w:rsidR="00AF76C0" w:rsidRDefault="00AF76C0">
      <w:pPr>
        <w:pStyle w:val="BodyText"/>
      </w:pPr>
    </w:p>
    <w:p w14:paraId="26222E20" w14:textId="77777777" w:rsidR="00AF76C0" w:rsidRDefault="00000000">
      <w:pPr>
        <w:pStyle w:val="BodyText"/>
      </w:pPr>
      <w:r>
        <w:rPr>
          <w:noProof/>
        </w:rPr>
        <w:drawing>
          <wp:inline distT="0" distB="0" distL="0" distR="0" wp14:anchorId="7D6A6232" wp14:editId="754607E1">
            <wp:extent cx="5334000" cy="313598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Picture" descr="./Cochrane_DTA_9.4.6.3_example_1/Pictures/Cochrane_freq_parameters.png"/>
                    <pic:cNvPicPr>
                      <a:picLocks noChangeAspect="1" noChangeArrowheads="1"/>
                    </pic:cNvPicPr>
                  </pic:nvPicPr>
                  <pic:blipFill>
                    <a:blip r:embed="rId39"/>
                    <a:stretch>
                      <a:fillRect/>
                    </a:stretch>
                  </pic:blipFill>
                  <pic:spPr bwMode="auto">
                    <a:xfrm>
                      <a:off x="0" y="0"/>
                      <a:ext cx="5334000" cy="3135985"/>
                    </a:xfrm>
                    <a:prstGeom prst="rect">
                      <a:avLst/>
                    </a:prstGeom>
                    <a:noFill/>
                    <a:ln w="9525">
                      <a:noFill/>
                      <a:headEnd/>
                      <a:tailEnd/>
                    </a:ln>
                  </pic:spPr>
                </pic:pic>
              </a:graphicData>
            </a:graphic>
          </wp:inline>
        </w:drawing>
      </w:r>
    </w:p>
    <w:p w14:paraId="085044EA" w14:textId="77777777" w:rsidR="00AF76C0" w:rsidRDefault="00AF76C0">
      <w:pPr>
        <w:pStyle w:val="BodyText"/>
      </w:pPr>
    </w:p>
    <w:p w14:paraId="0A707CD5" w14:textId="77777777" w:rsidR="00AF76C0" w:rsidRDefault="00000000">
      <w:pPr>
        <w:pStyle w:val="BodyText"/>
      </w:pPr>
      <w:r>
        <w:t>And from the Bayesian model on page 45 of chapter 10:</w:t>
      </w:r>
    </w:p>
    <w:p w14:paraId="1871B738" w14:textId="77777777" w:rsidR="00AF76C0" w:rsidRDefault="00AF76C0">
      <w:pPr>
        <w:pStyle w:val="BodyText"/>
      </w:pPr>
    </w:p>
    <w:p w14:paraId="5D8EAFE4" w14:textId="77777777" w:rsidR="00AF76C0" w:rsidRDefault="00000000">
      <w:pPr>
        <w:pStyle w:val="BodyText"/>
      </w:pPr>
      <w:r>
        <w:rPr>
          <w:noProof/>
        </w:rPr>
        <w:lastRenderedPageBreak/>
        <w:drawing>
          <wp:inline distT="0" distB="0" distL="0" distR="0" wp14:anchorId="1AA93C59" wp14:editId="697CF4AD">
            <wp:extent cx="5334000" cy="1406054"/>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9" name="Picture" descr="./Cochrane_DTA_9.4.6.3_example_1/Pictures/Cochrane_Bayes_parameters.png"/>
                    <pic:cNvPicPr>
                      <a:picLocks noChangeAspect="1" noChangeArrowheads="1"/>
                    </pic:cNvPicPr>
                  </pic:nvPicPr>
                  <pic:blipFill>
                    <a:blip r:embed="rId40"/>
                    <a:stretch>
                      <a:fillRect/>
                    </a:stretch>
                  </pic:blipFill>
                  <pic:spPr bwMode="auto">
                    <a:xfrm>
                      <a:off x="0" y="0"/>
                      <a:ext cx="5334000" cy="1406054"/>
                    </a:xfrm>
                    <a:prstGeom prst="rect">
                      <a:avLst/>
                    </a:prstGeom>
                    <a:noFill/>
                    <a:ln w="9525">
                      <a:noFill/>
                      <a:headEnd/>
                      <a:tailEnd/>
                    </a:ln>
                  </pic:spPr>
                </pic:pic>
              </a:graphicData>
            </a:graphic>
          </wp:inline>
        </w:drawing>
      </w:r>
    </w:p>
    <w:p w14:paraId="45FEA1C8" w14:textId="77777777" w:rsidR="00AF76C0" w:rsidRDefault="00AF76C0">
      <w:pPr>
        <w:pStyle w:val="BodyText"/>
      </w:pPr>
    </w:p>
    <w:p w14:paraId="54915B55" w14:textId="77777777" w:rsidR="00AF76C0" w:rsidRDefault="00000000">
      <w:pPr>
        <w:pStyle w:val="BodyText"/>
      </w:pPr>
      <w:r>
        <w:t>The three sources use different notation for the parameters. The table below shows which parameters are which.</w:t>
      </w:r>
    </w:p>
    <w:tbl>
      <w:tblPr>
        <w:tblStyle w:val="Table"/>
        <w:tblW w:w="5000" w:type="pct"/>
        <w:tblLook w:val="0020" w:firstRow="1" w:lastRow="0" w:firstColumn="0" w:lastColumn="0" w:noHBand="0" w:noVBand="0"/>
      </w:tblPr>
      <w:tblGrid>
        <w:gridCol w:w="2039"/>
        <w:gridCol w:w="1362"/>
        <w:gridCol w:w="1364"/>
        <w:gridCol w:w="1132"/>
        <w:gridCol w:w="1132"/>
        <w:gridCol w:w="979"/>
        <w:gridCol w:w="784"/>
        <w:gridCol w:w="784"/>
      </w:tblGrid>
      <w:tr w:rsidR="00AF76C0" w14:paraId="32A2C0CE"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6769B85F" w14:textId="77777777" w:rsidR="00AF76C0" w:rsidRDefault="00000000">
            <w:pPr>
              <w:pStyle w:val="Compact"/>
            </w:pPr>
            <w:r>
              <w:t>Parameters</w:t>
            </w:r>
          </w:p>
        </w:tc>
        <w:tc>
          <w:tcPr>
            <w:tcW w:w="0" w:type="auto"/>
          </w:tcPr>
          <w:p w14:paraId="5DD31550" w14:textId="77777777" w:rsidR="00AF76C0" w:rsidRDefault="00AF76C0">
            <w:pPr>
              <w:pStyle w:val="Compact"/>
            </w:pPr>
          </w:p>
        </w:tc>
        <w:tc>
          <w:tcPr>
            <w:tcW w:w="0" w:type="auto"/>
          </w:tcPr>
          <w:p w14:paraId="05E5811F" w14:textId="77777777" w:rsidR="00AF76C0" w:rsidRDefault="00AF76C0">
            <w:pPr>
              <w:pStyle w:val="Compact"/>
            </w:pPr>
          </w:p>
        </w:tc>
        <w:tc>
          <w:tcPr>
            <w:tcW w:w="0" w:type="auto"/>
          </w:tcPr>
          <w:p w14:paraId="50973AAF" w14:textId="77777777" w:rsidR="00AF76C0" w:rsidRDefault="00AF76C0">
            <w:pPr>
              <w:pStyle w:val="Compact"/>
            </w:pPr>
          </w:p>
        </w:tc>
        <w:tc>
          <w:tcPr>
            <w:tcW w:w="0" w:type="auto"/>
          </w:tcPr>
          <w:p w14:paraId="54B31CCC" w14:textId="77777777" w:rsidR="00AF76C0" w:rsidRDefault="00AF76C0">
            <w:pPr>
              <w:pStyle w:val="Compact"/>
            </w:pPr>
          </w:p>
        </w:tc>
        <w:tc>
          <w:tcPr>
            <w:tcW w:w="0" w:type="auto"/>
          </w:tcPr>
          <w:p w14:paraId="7664940D" w14:textId="77777777" w:rsidR="00AF76C0" w:rsidRDefault="00AF76C0">
            <w:pPr>
              <w:pStyle w:val="Compact"/>
            </w:pPr>
          </w:p>
        </w:tc>
        <w:tc>
          <w:tcPr>
            <w:tcW w:w="0" w:type="auto"/>
          </w:tcPr>
          <w:p w14:paraId="0B909DAD" w14:textId="77777777" w:rsidR="00AF76C0" w:rsidRDefault="00AF76C0">
            <w:pPr>
              <w:pStyle w:val="Compact"/>
            </w:pPr>
          </w:p>
        </w:tc>
        <w:tc>
          <w:tcPr>
            <w:tcW w:w="0" w:type="auto"/>
          </w:tcPr>
          <w:p w14:paraId="45FDBF5A" w14:textId="77777777" w:rsidR="00AF76C0" w:rsidRDefault="00AF76C0">
            <w:pPr>
              <w:pStyle w:val="Compact"/>
            </w:pPr>
          </w:p>
        </w:tc>
      </w:tr>
      <w:tr w:rsidR="00AF76C0" w14:paraId="3CA7BEB0" w14:textId="77777777">
        <w:tc>
          <w:tcPr>
            <w:tcW w:w="0" w:type="auto"/>
          </w:tcPr>
          <w:p w14:paraId="28CB61E6" w14:textId="77777777" w:rsidR="00AF76C0" w:rsidRDefault="00000000">
            <w:pPr>
              <w:pStyle w:val="Compact"/>
            </w:pPr>
            <w:r>
              <w:t>Cochrane frequentist</w:t>
            </w:r>
          </w:p>
        </w:tc>
        <w:tc>
          <w:tcPr>
            <w:tcW w:w="0" w:type="auto"/>
          </w:tcPr>
          <w:p w14:paraId="1D777DD6"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A</m:t>
                    </m:r>
                  </m:sub>
                </m:sSub>
              </m:oMath>
            </m:oMathPara>
          </w:p>
        </w:tc>
        <w:tc>
          <w:tcPr>
            <w:tcW w:w="0" w:type="auto"/>
          </w:tcPr>
          <w:p w14:paraId="0C2346F3"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B</m:t>
                    </m:r>
                  </m:sub>
                </m:sSub>
              </m:oMath>
            </m:oMathPara>
          </w:p>
        </w:tc>
        <w:tc>
          <w:tcPr>
            <w:tcW w:w="0" w:type="auto"/>
          </w:tcPr>
          <w:p w14:paraId="40658157"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m:oMathPara>
          </w:p>
        </w:tc>
        <w:tc>
          <w:tcPr>
            <w:tcW w:w="0" w:type="auto"/>
          </w:tcPr>
          <w:p w14:paraId="111FAEC4"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oMath>
            </m:oMathPara>
          </w:p>
        </w:tc>
        <w:tc>
          <w:tcPr>
            <w:tcW w:w="0" w:type="auto"/>
          </w:tcPr>
          <w:p w14:paraId="0780459C" w14:textId="77777777" w:rsidR="00AF76C0" w:rsidRDefault="00000000">
            <w:pPr>
              <w:pStyle w:val="Compact"/>
            </w:pPr>
            <m:oMathPara>
              <m:oMath>
                <m:sSub>
                  <m:sSubPr>
                    <m:ctrlPr>
                      <w:rPr>
                        <w:rFonts w:ascii="Cambria Math" w:hAnsi="Cambria Math"/>
                      </w:rPr>
                    </m:ctrlPr>
                  </m:sSubPr>
                  <m:e>
                    <m:r>
                      <w:rPr>
                        <w:rFonts w:ascii="Cambria Math" w:hAnsi="Cambria Math"/>
                      </w:rPr>
                      <m:t>σ</m:t>
                    </m:r>
                  </m:e>
                  <m:sub>
                    <m:r>
                      <w:rPr>
                        <w:rFonts w:ascii="Cambria Math" w:hAnsi="Cambria Math"/>
                      </w:rPr>
                      <m:t>AB</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A</m:t>
                    </m:r>
                  </m:sub>
                </m:sSub>
                <m:sSub>
                  <m:sSubPr>
                    <m:ctrlPr>
                      <w:rPr>
                        <w:rFonts w:ascii="Cambria Math" w:hAnsi="Cambria Math"/>
                      </w:rPr>
                    </m:ctrlPr>
                  </m:sSubPr>
                  <m:e>
                    <m:r>
                      <w:rPr>
                        <w:rFonts w:ascii="Cambria Math" w:hAnsi="Cambria Math"/>
                      </w:rPr>
                      <m:t>σ</m:t>
                    </m:r>
                  </m:e>
                  <m:sub>
                    <m:r>
                      <w:rPr>
                        <w:rFonts w:ascii="Cambria Math" w:hAnsi="Cambria Math"/>
                      </w:rPr>
                      <m:t>B</m:t>
                    </m:r>
                  </m:sub>
                </m:sSub>
              </m:oMath>
            </m:oMathPara>
          </w:p>
        </w:tc>
        <w:tc>
          <w:tcPr>
            <w:tcW w:w="0" w:type="auto"/>
          </w:tcPr>
          <w:p w14:paraId="5EFB322F" w14:textId="77777777" w:rsidR="00AF76C0" w:rsidRDefault="00000000">
            <w:pPr>
              <w:pStyle w:val="Compact"/>
            </w:pPr>
            <m:oMathPara>
              <m:oMath>
                <m:sSub>
                  <m:sSubPr>
                    <m:ctrlPr>
                      <w:rPr>
                        <w:rFonts w:ascii="Cambria Math" w:hAnsi="Cambria Math"/>
                      </w:rPr>
                    </m:ctrlPr>
                  </m:sSubPr>
                  <m:e>
                    <m:r>
                      <w:rPr>
                        <w:rFonts w:ascii="Cambria Math" w:hAnsi="Cambria Math"/>
                      </w:rPr>
                      <m:t>ν</m:t>
                    </m:r>
                  </m:e>
                  <m:sub>
                    <m:r>
                      <w:rPr>
                        <w:rFonts w:ascii="Cambria Math" w:hAnsi="Cambria Math"/>
                      </w:rPr>
                      <m:t>A</m:t>
                    </m:r>
                  </m:sub>
                </m:sSub>
              </m:oMath>
            </m:oMathPara>
          </w:p>
        </w:tc>
        <w:tc>
          <w:tcPr>
            <w:tcW w:w="0" w:type="auto"/>
          </w:tcPr>
          <w:p w14:paraId="65C11DF9" w14:textId="77777777" w:rsidR="00AF76C0" w:rsidRDefault="00000000">
            <w:pPr>
              <w:pStyle w:val="Compact"/>
            </w:pPr>
            <m:oMathPara>
              <m:oMath>
                <m:sSub>
                  <m:sSubPr>
                    <m:ctrlPr>
                      <w:rPr>
                        <w:rFonts w:ascii="Cambria Math" w:hAnsi="Cambria Math"/>
                      </w:rPr>
                    </m:ctrlPr>
                  </m:sSubPr>
                  <m:e>
                    <m:r>
                      <w:rPr>
                        <w:rFonts w:ascii="Cambria Math" w:hAnsi="Cambria Math"/>
                      </w:rPr>
                      <m:t>ν</m:t>
                    </m:r>
                  </m:e>
                  <m:sub>
                    <m:r>
                      <w:rPr>
                        <w:rFonts w:ascii="Cambria Math" w:hAnsi="Cambria Math"/>
                      </w:rPr>
                      <m:t>B</m:t>
                    </m:r>
                  </m:sub>
                </m:sSub>
              </m:oMath>
            </m:oMathPara>
          </w:p>
        </w:tc>
      </w:tr>
      <w:tr w:rsidR="00AF76C0" w14:paraId="3ADCEFE5" w14:textId="77777777">
        <w:tc>
          <w:tcPr>
            <w:tcW w:w="0" w:type="auto"/>
          </w:tcPr>
          <w:p w14:paraId="0A4B28A1" w14:textId="77777777" w:rsidR="00AF76C0" w:rsidRDefault="00000000">
            <w:pPr>
              <w:pStyle w:val="Compact"/>
            </w:pPr>
            <w:r>
              <w:t>Cochrane Bayesian</w:t>
            </w:r>
          </w:p>
        </w:tc>
        <w:tc>
          <w:tcPr>
            <w:tcW w:w="0" w:type="auto"/>
          </w:tcPr>
          <w:p w14:paraId="00624EEE" w14:textId="77777777" w:rsidR="00AF76C0" w:rsidRDefault="00000000">
            <w:pPr>
              <w:pStyle w:val="Compact"/>
            </w:pPr>
            <w:r>
              <w:t>mu[1]</w:t>
            </w:r>
          </w:p>
        </w:tc>
        <w:tc>
          <w:tcPr>
            <w:tcW w:w="0" w:type="auto"/>
          </w:tcPr>
          <w:p w14:paraId="567ABAE7" w14:textId="77777777" w:rsidR="00AF76C0" w:rsidRDefault="00000000">
            <w:pPr>
              <w:pStyle w:val="Compact"/>
            </w:pPr>
            <w:r>
              <w:t>mu[2]</w:t>
            </w:r>
          </w:p>
        </w:tc>
        <w:tc>
          <w:tcPr>
            <w:tcW w:w="0" w:type="auto"/>
          </w:tcPr>
          <w:p w14:paraId="3D6123D5" w14:textId="77777777" w:rsidR="00AF76C0" w:rsidRDefault="00000000">
            <w:pPr>
              <w:pStyle w:val="Compact"/>
            </w:pPr>
            <w:r>
              <w:t>tau.sq[1]</w:t>
            </w:r>
          </w:p>
        </w:tc>
        <w:tc>
          <w:tcPr>
            <w:tcW w:w="0" w:type="auto"/>
          </w:tcPr>
          <w:p w14:paraId="52A88A87" w14:textId="77777777" w:rsidR="00AF76C0" w:rsidRDefault="00000000">
            <w:pPr>
              <w:pStyle w:val="Compact"/>
            </w:pPr>
            <w:r>
              <w:t>tau.sq[2]</w:t>
            </w:r>
          </w:p>
        </w:tc>
        <w:tc>
          <w:tcPr>
            <w:tcW w:w="0" w:type="auto"/>
          </w:tcPr>
          <w:p w14:paraId="26D74951" w14:textId="77777777" w:rsidR="00AF76C0" w:rsidRDefault="00000000">
            <w:pPr>
              <w:pStyle w:val="Compact"/>
            </w:pPr>
            <w:r>
              <w:t>rho</w:t>
            </w:r>
          </w:p>
        </w:tc>
        <w:tc>
          <w:tcPr>
            <w:tcW w:w="0" w:type="auto"/>
          </w:tcPr>
          <w:p w14:paraId="2C246DF6" w14:textId="77777777" w:rsidR="00AF76C0" w:rsidRDefault="00000000">
            <w:pPr>
              <w:pStyle w:val="Compact"/>
            </w:pPr>
            <w:r>
              <w:t>nu[1]</w:t>
            </w:r>
          </w:p>
        </w:tc>
        <w:tc>
          <w:tcPr>
            <w:tcW w:w="0" w:type="auto"/>
          </w:tcPr>
          <w:p w14:paraId="0C9B3F6D" w14:textId="77777777" w:rsidR="00AF76C0" w:rsidRDefault="00000000">
            <w:pPr>
              <w:pStyle w:val="Compact"/>
            </w:pPr>
            <w:r>
              <w:t>nu[2]</w:t>
            </w:r>
          </w:p>
        </w:tc>
      </w:tr>
      <w:tr w:rsidR="00AF76C0" w14:paraId="2B039E33" w14:textId="77777777">
        <w:tc>
          <w:tcPr>
            <w:tcW w:w="0" w:type="auto"/>
          </w:tcPr>
          <w:p w14:paraId="48EBFFFA" w14:textId="77777777" w:rsidR="00AF76C0" w:rsidRDefault="00000000">
            <w:pPr>
              <w:pStyle w:val="Compact"/>
            </w:pPr>
            <w:r>
              <w:t>MetaBayesDTA</w:t>
            </w:r>
          </w:p>
        </w:tc>
        <w:tc>
          <w:tcPr>
            <w:tcW w:w="0" w:type="auto"/>
          </w:tcPr>
          <w:p w14:paraId="20C80738" w14:textId="77777777" w:rsidR="00AF76C0" w:rsidRDefault="00000000">
            <w:pPr>
              <w:pStyle w:val="Compact"/>
            </w:pPr>
            <m:oMathPara>
              <m:oMath>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L</m:t>
                    </m:r>
                    <m:r>
                      <m:rPr>
                        <m:sty m:val="p"/>
                      </m:rPr>
                      <w:rPr>
                        <w:rFonts w:ascii="Cambria Math" w:hAnsi="Cambria Math"/>
                      </w:rPr>
                      <m:t>=</m:t>
                    </m:r>
                    <m:r>
                      <w:rPr>
                        <w:rFonts w:ascii="Cambria Math" w:hAnsi="Cambria Math"/>
                      </w:rPr>
                      <m:t>CCP1</m:t>
                    </m:r>
                  </m:e>
                </m:d>
              </m:oMath>
            </m:oMathPara>
          </w:p>
        </w:tc>
        <w:tc>
          <w:tcPr>
            <w:tcW w:w="0" w:type="auto"/>
          </w:tcPr>
          <w:p w14:paraId="34C9AA50" w14:textId="77777777" w:rsidR="00AF76C0" w:rsidRDefault="00000000">
            <w:pPr>
              <w:pStyle w:val="Compact"/>
            </w:pPr>
            <m:oMathPara>
              <m:oMath>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L</m:t>
                    </m:r>
                    <m:r>
                      <m:rPr>
                        <m:sty m:val="p"/>
                      </m:rPr>
                      <w:rPr>
                        <w:rFonts w:ascii="Cambria Math" w:hAnsi="Cambria Math"/>
                      </w:rPr>
                      <m:t>=</m:t>
                    </m:r>
                    <m:r>
                      <w:rPr>
                        <w:rFonts w:ascii="Cambria Math" w:hAnsi="Cambria Math"/>
                      </w:rPr>
                      <m:t>CCP1</m:t>
                    </m:r>
                  </m:e>
                </m:d>
              </m:oMath>
            </m:oMathPara>
          </w:p>
        </w:tc>
        <w:tc>
          <w:tcPr>
            <w:tcW w:w="0" w:type="auto"/>
          </w:tcPr>
          <w:p w14:paraId="37979707"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1</m:t>
                    </m:r>
                  </m:sub>
                  <m:sup>
                    <m:r>
                      <w:rPr>
                        <w:rFonts w:ascii="Cambria Math" w:hAnsi="Cambria Math"/>
                      </w:rPr>
                      <m:t>2</m:t>
                    </m:r>
                  </m:sup>
                </m:sSubSup>
              </m:oMath>
            </m:oMathPara>
          </w:p>
        </w:tc>
        <w:tc>
          <w:tcPr>
            <w:tcW w:w="0" w:type="auto"/>
          </w:tcPr>
          <w:p w14:paraId="4D89CAD3" w14:textId="77777777" w:rsidR="00AF76C0" w:rsidRDefault="00000000">
            <w:pPr>
              <w:pStyle w:val="Compact"/>
            </w:pPr>
            <m:oMathPara>
              <m:oMath>
                <m:sSubSup>
                  <m:sSubSupPr>
                    <m:ctrlPr>
                      <w:rPr>
                        <w:rFonts w:ascii="Cambria Math" w:hAnsi="Cambria Math"/>
                      </w:rPr>
                    </m:ctrlPr>
                  </m:sSubSupPr>
                  <m:e>
                    <m:r>
                      <w:rPr>
                        <w:rFonts w:ascii="Cambria Math" w:hAnsi="Cambria Math"/>
                      </w:rPr>
                      <m:t>σ</m:t>
                    </m:r>
                  </m:e>
                  <m:sub>
                    <m:r>
                      <w:rPr>
                        <w:rFonts w:ascii="Cambria Math" w:hAnsi="Cambria Math"/>
                      </w:rPr>
                      <m:t>0</m:t>
                    </m:r>
                  </m:sub>
                  <m:sup>
                    <m:r>
                      <w:rPr>
                        <w:rFonts w:ascii="Cambria Math" w:hAnsi="Cambria Math"/>
                      </w:rPr>
                      <m:t>2</m:t>
                    </m:r>
                  </m:sup>
                </m:sSubSup>
              </m:oMath>
            </m:oMathPara>
          </w:p>
        </w:tc>
        <w:tc>
          <w:tcPr>
            <w:tcW w:w="0" w:type="auto"/>
          </w:tcPr>
          <w:p w14:paraId="3A36CDFB" w14:textId="77777777" w:rsidR="00AF76C0" w:rsidRDefault="00000000">
            <w:pPr>
              <w:pStyle w:val="Compact"/>
            </w:pPr>
            <m:oMathPara>
              <m:oMath>
                <m:r>
                  <w:rPr>
                    <w:rFonts w:ascii="Cambria Math" w:hAnsi="Cambria Math"/>
                  </w:rPr>
                  <m:t>ρ</m:t>
                </m:r>
              </m:oMath>
            </m:oMathPara>
          </w:p>
        </w:tc>
        <w:tc>
          <w:tcPr>
            <w:tcW w:w="0" w:type="auto"/>
          </w:tcPr>
          <w:p w14:paraId="6388DB0A" w14:textId="77777777" w:rsidR="00AF76C0" w:rsidRDefault="00000000">
            <w:pPr>
              <w:pStyle w:val="Compact"/>
            </w:pPr>
            <w:r>
              <w:t>-</w:t>
            </w:r>
          </w:p>
        </w:tc>
        <w:tc>
          <w:tcPr>
            <w:tcW w:w="0" w:type="auto"/>
          </w:tcPr>
          <w:p w14:paraId="14480C11" w14:textId="77777777" w:rsidR="00AF76C0" w:rsidRDefault="00000000">
            <w:pPr>
              <w:pStyle w:val="Compact"/>
            </w:pPr>
            <w:r>
              <w:t>-</w:t>
            </w:r>
          </w:p>
        </w:tc>
      </w:tr>
    </w:tbl>
    <w:p w14:paraId="44D8E2F1" w14:textId="77777777" w:rsidR="00AF76C0" w:rsidRDefault="00AF76C0">
      <w:pPr>
        <w:pStyle w:val="BodyText"/>
      </w:pPr>
    </w:p>
    <w:p w14:paraId="4F871E47" w14:textId="77777777" w:rsidR="00AF76C0" w:rsidRDefault="00000000">
      <w:pPr>
        <w:pStyle w:val="Heading3"/>
      </w:pPr>
      <w:bookmarkStart w:id="40" w:name="Xba53bfdbaa56885a64962eda2d1255c2427e1c2"/>
      <w:bookmarkStart w:id="41" w:name="_Toc153208229"/>
      <w:r>
        <w:rPr>
          <w:rStyle w:val="SectionNumber"/>
        </w:rPr>
        <w:t>4.3.1</w:t>
      </w:r>
      <w:r>
        <w:tab/>
        <w:t>Logit sensitivity parameters (</w:t>
      </w:r>
      <m:oMath>
        <m:sSub>
          <m:sSubPr>
            <m:ctrlPr>
              <w:rPr>
                <w:rFonts w:ascii="Cambria Math" w:hAnsi="Cambria Math"/>
              </w:rPr>
            </m:ctrlPr>
          </m:sSubPr>
          <m:e>
            <m:r>
              <m:rPr>
                <m:sty m:val="bi"/>
              </m:rPr>
              <w:rPr>
                <w:rFonts w:ascii="Cambria Math" w:hAnsi="Cambria Math"/>
              </w:rPr>
              <m:t>μ</m:t>
            </m:r>
          </m:e>
          <m:sub>
            <m:r>
              <m:rPr>
                <m:sty m:val="bi"/>
              </m:rPr>
              <w:rPr>
                <w:rFonts w:ascii="Cambria Math" w:hAnsi="Cambria Math"/>
              </w:rPr>
              <m:t>A</m:t>
            </m:r>
          </m:sub>
        </m:sSub>
      </m:oMath>
      <w:r>
        <w:t xml:space="preserve"> and </w:t>
      </w:r>
      <m:oMath>
        <m:sSub>
          <m:sSubPr>
            <m:ctrlPr>
              <w:rPr>
                <w:rFonts w:ascii="Cambria Math" w:hAnsi="Cambria Math"/>
              </w:rPr>
            </m:ctrlPr>
          </m:sSubPr>
          <m:e>
            <m:r>
              <m:rPr>
                <m:sty m:val="bi"/>
              </m:rPr>
              <w:rPr>
                <w:rFonts w:ascii="Cambria Math" w:hAnsi="Cambria Math"/>
              </w:rPr>
              <m:t>ν</m:t>
            </m:r>
          </m:e>
          <m:sub>
            <m:r>
              <m:rPr>
                <m:sty m:val="bi"/>
              </m:rPr>
              <w:rPr>
                <w:rFonts w:ascii="Cambria Math" w:hAnsi="Cambria Math"/>
              </w:rPr>
              <m:t>A</m:t>
            </m:r>
          </m:sub>
        </m:sSub>
      </m:oMath>
      <w:r>
        <w:t>)</w:t>
      </w:r>
      <w:bookmarkEnd w:id="41"/>
    </w:p>
    <w:tbl>
      <w:tblPr>
        <w:tblStyle w:val="Table"/>
        <w:tblW w:w="5000" w:type="pct"/>
        <w:tblLook w:val="0020" w:firstRow="1" w:lastRow="0" w:firstColumn="0" w:lastColumn="0" w:noHBand="0" w:noVBand="0"/>
      </w:tblPr>
      <w:tblGrid>
        <w:gridCol w:w="1302"/>
        <w:gridCol w:w="2167"/>
        <w:gridCol w:w="1121"/>
        <w:gridCol w:w="1824"/>
        <w:gridCol w:w="1587"/>
        <w:gridCol w:w="1575"/>
      </w:tblGrid>
      <w:tr w:rsidR="00AF76C0" w14:paraId="32EAA562" w14:textId="77777777" w:rsidTr="00AF76C0">
        <w:trPr>
          <w:cnfStyle w:val="100000000000" w:firstRow="1" w:lastRow="0" w:firstColumn="0" w:lastColumn="0" w:oddVBand="0" w:evenVBand="0" w:oddHBand="0" w:evenHBand="0" w:firstRowFirstColumn="0" w:firstRowLastColumn="0" w:lastRowFirstColumn="0" w:lastRowLastColumn="0"/>
          <w:tblHeader/>
        </w:trPr>
        <w:tc>
          <w:tcPr>
            <w:tcW w:w="0" w:type="auto"/>
          </w:tcPr>
          <w:p w14:paraId="0DA164C2" w14:textId="77777777" w:rsidR="00AF76C0" w:rsidRDefault="00000000">
            <w:pPr>
              <w:pStyle w:val="Compact"/>
            </w:pPr>
            <w:r>
              <w:t>Parameter</w:t>
            </w:r>
          </w:p>
        </w:tc>
        <w:tc>
          <w:tcPr>
            <w:tcW w:w="0" w:type="auto"/>
          </w:tcPr>
          <w:p w14:paraId="03A32D96" w14:textId="77777777" w:rsidR="00AF76C0" w:rsidRDefault="00000000">
            <w:pPr>
              <w:pStyle w:val="Compact"/>
            </w:pPr>
            <w:r>
              <w:t>Source</w:t>
            </w:r>
          </w:p>
        </w:tc>
        <w:tc>
          <w:tcPr>
            <w:tcW w:w="0" w:type="auto"/>
          </w:tcPr>
          <w:p w14:paraId="2618956E" w14:textId="77777777" w:rsidR="00AF76C0" w:rsidRDefault="00000000">
            <w:pPr>
              <w:pStyle w:val="Compact"/>
            </w:pPr>
            <w:r>
              <w:t>Estimate</w:t>
            </w:r>
          </w:p>
        </w:tc>
        <w:tc>
          <w:tcPr>
            <w:tcW w:w="0" w:type="auto"/>
          </w:tcPr>
          <w:p w14:paraId="182970CF" w14:textId="77777777" w:rsidR="00AF76C0" w:rsidRDefault="00000000">
            <w:pPr>
              <w:pStyle w:val="Compact"/>
            </w:pPr>
            <w:r>
              <w:t>Standard deviation</w:t>
            </w:r>
          </w:p>
        </w:tc>
        <w:tc>
          <w:tcPr>
            <w:tcW w:w="0" w:type="auto"/>
          </w:tcPr>
          <w:p w14:paraId="08D9727F" w14:textId="77777777" w:rsidR="00AF76C0" w:rsidRDefault="00000000">
            <w:pPr>
              <w:pStyle w:val="Compact"/>
            </w:pPr>
            <w:r>
              <w:t>Lower 95% limit</w:t>
            </w:r>
          </w:p>
        </w:tc>
        <w:tc>
          <w:tcPr>
            <w:tcW w:w="0" w:type="auto"/>
          </w:tcPr>
          <w:p w14:paraId="190A1595" w14:textId="77777777" w:rsidR="00AF76C0" w:rsidRDefault="00000000">
            <w:pPr>
              <w:pStyle w:val="Compact"/>
            </w:pPr>
            <w:r>
              <w:t>Upper 95% limit</w:t>
            </w:r>
          </w:p>
        </w:tc>
      </w:tr>
      <w:tr w:rsidR="00AF76C0" w14:paraId="7615CB6D" w14:textId="77777777">
        <w:tc>
          <w:tcPr>
            <w:tcW w:w="0" w:type="auto"/>
          </w:tcPr>
          <w:p w14:paraId="6ED7798A" w14:textId="77777777" w:rsidR="00AF76C0" w:rsidRDefault="00000000">
            <w:pPr>
              <w:pStyle w:val="Compact"/>
            </w:pPr>
            <m:oMathPara>
              <m:oMath>
                <m:sSub>
                  <m:sSubPr>
                    <m:ctrlPr>
                      <w:rPr>
                        <w:rFonts w:ascii="Cambria Math" w:hAnsi="Cambria Math"/>
                      </w:rPr>
                    </m:ctrlPr>
                  </m:sSubPr>
                  <m:e>
                    <m:r>
                      <w:rPr>
                        <w:rFonts w:ascii="Cambria Math" w:hAnsi="Cambria Math"/>
                      </w:rPr>
                      <m:t>μ</m:t>
                    </m:r>
                  </m:e>
                  <m:sub>
                    <m:r>
                      <w:rPr>
                        <w:rFonts w:ascii="Cambria Math" w:hAnsi="Cambria Math"/>
                      </w:rPr>
                      <m:t>A</m:t>
                    </m:r>
                  </m:sub>
                </m:sSub>
              </m:oMath>
            </m:oMathPara>
          </w:p>
        </w:tc>
        <w:tc>
          <w:tcPr>
            <w:tcW w:w="0" w:type="auto"/>
          </w:tcPr>
          <w:p w14:paraId="5B5E9446" w14:textId="77777777" w:rsidR="00AF76C0" w:rsidRDefault="00000000">
            <w:pPr>
              <w:pStyle w:val="Compact"/>
            </w:pPr>
            <w:r>
              <w:t>Cochrane frequentist</w:t>
            </w:r>
          </w:p>
        </w:tc>
        <w:tc>
          <w:tcPr>
            <w:tcW w:w="0" w:type="auto"/>
          </w:tcPr>
          <w:p w14:paraId="566B25E8" w14:textId="77777777" w:rsidR="00AF76C0" w:rsidRDefault="00000000">
            <w:pPr>
              <w:pStyle w:val="Compact"/>
            </w:pPr>
            <w:r>
              <w:t>-0.0965</w:t>
            </w:r>
          </w:p>
        </w:tc>
        <w:tc>
          <w:tcPr>
            <w:tcW w:w="0" w:type="auto"/>
          </w:tcPr>
          <w:p w14:paraId="679A255F" w14:textId="77777777" w:rsidR="00AF76C0" w:rsidRDefault="00000000">
            <w:pPr>
              <w:pStyle w:val="Compact"/>
            </w:pPr>
            <w:r>
              <w:t>0.2203</w:t>
            </w:r>
          </w:p>
        </w:tc>
        <w:tc>
          <w:tcPr>
            <w:tcW w:w="0" w:type="auto"/>
          </w:tcPr>
          <w:p w14:paraId="1F98A387" w14:textId="77777777" w:rsidR="00AF76C0" w:rsidRDefault="00000000">
            <w:pPr>
              <w:pStyle w:val="Compact"/>
            </w:pPr>
            <w:r>
              <w:t>NA</w:t>
            </w:r>
          </w:p>
        </w:tc>
        <w:tc>
          <w:tcPr>
            <w:tcW w:w="0" w:type="auto"/>
          </w:tcPr>
          <w:p w14:paraId="3DC628BE" w14:textId="77777777" w:rsidR="00AF76C0" w:rsidRDefault="00000000">
            <w:pPr>
              <w:pStyle w:val="Compact"/>
            </w:pPr>
            <w:r>
              <w:t>NA</w:t>
            </w:r>
          </w:p>
        </w:tc>
      </w:tr>
      <w:tr w:rsidR="00AF76C0" w14:paraId="35282E60" w14:textId="77777777">
        <w:tc>
          <w:tcPr>
            <w:tcW w:w="0" w:type="auto"/>
          </w:tcPr>
          <w:p w14:paraId="3D29FC99" w14:textId="77777777" w:rsidR="00AF76C0" w:rsidRDefault="00AF76C0">
            <w:pPr>
              <w:pStyle w:val="Compact"/>
            </w:pPr>
          </w:p>
        </w:tc>
        <w:tc>
          <w:tcPr>
            <w:tcW w:w="0" w:type="auto"/>
          </w:tcPr>
          <w:p w14:paraId="0ECC57EC" w14:textId="77777777" w:rsidR="00AF76C0" w:rsidRDefault="00000000">
            <w:pPr>
              <w:pStyle w:val="Compact"/>
            </w:pPr>
            <w:r>
              <w:t>Cochrane Bayesian</w:t>
            </w:r>
          </w:p>
        </w:tc>
        <w:tc>
          <w:tcPr>
            <w:tcW w:w="0" w:type="auto"/>
          </w:tcPr>
          <w:p w14:paraId="5055A025" w14:textId="77777777" w:rsidR="00AF76C0" w:rsidRDefault="00000000">
            <w:pPr>
              <w:pStyle w:val="Compact"/>
            </w:pPr>
            <w:r>
              <w:t>-0.1001</w:t>
            </w:r>
          </w:p>
        </w:tc>
        <w:tc>
          <w:tcPr>
            <w:tcW w:w="0" w:type="auto"/>
          </w:tcPr>
          <w:p w14:paraId="7FED9A1B" w14:textId="77777777" w:rsidR="00AF76C0" w:rsidRDefault="00000000">
            <w:pPr>
              <w:pStyle w:val="Compact"/>
            </w:pPr>
            <w:r>
              <w:t>0.2287</w:t>
            </w:r>
          </w:p>
        </w:tc>
        <w:tc>
          <w:tcPr>
            <w:tcW w:w="0" w:type="auto"/>
          </w:tcPr>
          <w:p w14:paraId="593E08E0" w14:textId="77777777" w:rsidR="00AF76C0" w:rsidRDefault="00000000">
            <w:pPr>
              <w:pStyle w:val="Compact"/>
            </w:pPr>
            <w:r>
              <w:t>-0.5547</w:t>
            </w:r>
          </w:p>
        </w:tc>
        <w:tc>
          <w:tcPr>
            <w:tcW w:w="0" w:type="auto"/>
          </w:tcPr>
          <w:p w14:paraId="3BE75803" w14:textId="77777777" w:rsidR="00AF76C0" w:rsidRDefault="00000000">
            <w:pPr>
              <w:pStyle w:val="Compact"/>
            </w:pPr>
            <w:r>
              <w:t>0.3478</w:t>
            </w:r>
          </w:p>
        </w:tc>
      </w:tr>
      <w:tr w:rsidR="00AF76C0" w14:paraId="7714F512" w14:textId="77777777">
        <w:tc>
          <w:tcPr>
            <w:tcW w:w="0" w:type="auto"/>
          </w:tcPr>
          <w:p w14:paraId="6187F70F" w14:textId="77777777" w:rsidR="00AF76C0" w:rsidRDefault="00AF76C0">
            <w:pPr>
              <w:pStyle w:val="Compact"/>
            </w:pPr>
          </w:p>
        </w:tc>
        <w:tc>
          <w:tcPr>
            <w:tcW w:w="0" w:type="auto"/>
          </w:tcPr>
          <w:p w14:paraId="381DE0A7" w14:textId="77777777" w:rsidR="00AF76C0" w:rsidRDefault="00000000">
            <w:pPr>
              <w:pStyle w:val="Compact"/>
            </w:pPr>
            <w:r>
              <w:t>MetaBayesDTA</w:t>
            </w:r>
          </w:p>
        </w:tc>
        <w:tc>
          <w:tcPr>
            <w:tcW w:w="0" w:type="auto"/>
          </w:tcPr>
          <w:p w14:paraId="6D403737" w14:textId="77777777" w:rsidR="00AF76C0" w:rsidRDefault="00000000">
            <w:pPr>
              <w:pStyle w:val="Compact"/>
            </w:pPr>
            <w:r>
              <w:t>-0.0680</w:t>
            </w:r>
          </w:p>
        </w:tc>
        <w:tc>
          <w:tcPr>
            <w:tcW w:w="0" w:type="auto"/>
          </w:tcPr>
          <w:p w14:paraId="53931CEF" w14:textId="77777777" w:rsidR="00AF76C0" w:rsidRDefault="00000000">
            <w:pPr>
              <w:pStyle w:val="Compact"/>
            </w:pPr>
            <w:r>
              <w:t>0.2298</w:t>
            </w:r>
          </w:p>
        </w:tc>
        <w:tc>
          <w:tcPr>
            <w:tcW w:w="0" w:type="auto"/>
          </w:tcPr>
          <w:p w14:paraId="4DC9E280" w14:textId="77777777" w:rsidR="00AF76C0" w:rsidRDefault="00000000">
            <w:pPr>
              <w:pStyle w:val="Compact"/>
            </w:pPr>
            <w:r>
              <w:t>-0.523</w:t>
            </w:r>
          </w:p>
        </w:tc>
        <w:tc>
          <w:tcPr>
            <w:tcW w:w="0" w:type="auto"/>
          </w:tcPr>
          <w:p w14:paraId="550334FF" w14:textId="77777777" w:rsidR="00AF76C0" w:rsidRDefault="00000000">
            <w:pPr>
              <w:pStyle w:val="Compact"/>
            </w:pPr>
            <w:r>
              <w:t>0.426</w:t>
            </w:r>
          </w:p>
        </w:tc>
      </w:tr>
      <w:tr w:rsidR="00AF76C0" w14:paraId="3C38202B" w14:textId="77777777">
        <w:tc>
          <w:tcPr>
            <w:tcW w:w="0" w:type="auto"/>
          </w:tcPr>
          <w:p w14:paraId="7A0ABCF4" w14:textId="77777777" w:rsidR="00AF76C0" w:rsidRDefault="00000000">
            <w:pPr>
              <w:pStyle w:val="Compact"/>
            </w:pPr>
            <m:oMathPara>
              <m:oMath>
                <m:sSub>
                  <m:sSubPr>
                    <m:ctrlPr>
                      <w:rPr>
                        <w:rFonts w:ascii="Cambria Math" w:hAnsi="Cambria Math"/>
                      </w:rPr>
                    </m:ctrlPr>
                  </m:sSubPr>
                  <m:e>
                    <m:r>
                      <w:rPr>
                        <w:rFonts w:ascii="Cambria Math" w:hAnsi="Cambria Math"/>
                      </w:rPr>
                      <m:t>ν</m:t>
                    </m:r>
                  </m:e>
                  <m:sub>
                    <m:r>
                      <w:rPr>
                        <w:rFonts w:ascii="Cambria Math" w:hAnsi="Cambria Math"/>
                      </w:rPr>
                      <m:t>A</m:t>
                    </m:r>
                  </m:sub>
                </m:sSub>
              </m:oMath>
            </m:oMathPara>
          </w:p>
        </w:tc>
        <w:tc>
          <w:tcPr>
            <w:tcW w:w="0" w:type="auto"/>
          </w:tcPr>
          <w:p w14:paraId="08FFE1CB" w14:textId="77777777" w:rsidR="00AF76C0" w:rsidRDefault="00000000">
            <w:pPr>
              <w:pStyle w:val="Compact"/>
            </w:pPr>
            <w:r>
              <w:t>Cochrane frequentist</w:t>
            </w:r>
          </w:p>
        </w:tc>
        <w:tc>
          <w:tcPr>
            <w:tcW w:w="0" w:type="auto"/>
          </w:tcPr>
          <w:p w14:paraId="5B85D3AE" w14:textId="77777777" w:rsidR="00AF76C0" w:rsidRDefault="00000000">
            <w:pPr>
              <w:pStyle w:val="Compact"/>
            </w:pPr>
            <w:r>
              <w:t>0.9626</w:t>
            </w:r>
          </w:p>
        </w:tc>
        <w:tc>
          <w:tcPr>
            <w:tcW w:w="0" w:type="auto"/>
          </w:tcPr>
          <w:p w14:paraId="3816971F" w14:textId="77777777" w:rsidR="00AF76C0" w:rsidRDefault="00000000">
            <w:pPr>
              <w:pStyle w:val="Compact"/>
            </w:pPr>
            <w:r>
              <w:t>0.2513</w:t>
            </w:r>
          </w:p>
        </w:tc>
        <w:tc>
          <w:tcPr>
            <w:tcW w:w="0" w:type="auto"/>
          </w:tcPr>
          <w:p w14:paraId="55B06317" w14:textId="77777777" w:rsidR="00AF76C0" w:rsidRDefault="00000000">
            <w:pPr>
              <w:pStyle w:val="Compact"/>
            </w:pPr>
            <w:r>
              <w:t>NA</w:t>
            </w:r>
          </w:p>
        </w:tc>
        <w:tc>
          <w:tcPr>
            <w:tcW w:w="0" w:type="auto"/>
          </w:tcPr>
          <w:p w14:paraId="6AD65999" w14:textId="77777777" w:rsidR="00AF76C0" w:rsidRDefault="00000000">
            <w:pPr>
              <w:pStyle w:val="Compact"/>
            </w:pPr>
            <w:r>
              <w:t>NA</w:t>
            </w:r>
          </w:p>
        </w:tc>
      </w:tr>
      <w:tr w:rsidR="00AF76C0" w14:paraId="41745C93" w14:textId="77777777">
        <w:tc>
          <w:tcPr>
            <w:tcW w:w="0" w:type="auto"/>
          </w:tcPr>
          <w:p w14:paraId="5036E684" w14:textId="77777777" w:rsidR="00AF76C0" w:rsidRDefault="00AF76C0">
            <w:pPr>
              <w:pStyle w:val="Compact"/>
            </w:pPr>
          </w:p>
        </w:tc>
        <w:tc>
          <w:tcPr>
            <w:tcW w:w="0" w:type="auto"/>
          </w:tcPr>
          <w:p w14:paraId="65362813" w14:textId="77777777" w:rsidR="00AF76C0" w:rsidRDefault="00000000">
            <w:pPr>
              <w:pStyle w:val="Compact"/>
            </w:pPr>
            <w:r>
              <w:t>Cochrane Bayesian</w:t>
            </w:r>
          </w:p>
        </w:tc>
        <w:tc>
          <w:tcPr>
            <w:tcW w:w="0" w:type="auto"/>
          </w:tcPr>
          <w:p w14:paraId="69AC3DBC" w14:textId="77777777" w:rsidR="00AF76C0" w:rsidRDefault="00000000">
            <w:pPr>
              <w:pStyle w:val="Compact"/>
            </w:pPr>
            <w:r>
              <w:t>0.9685</w:t>
            </w:r>
          </w:p>
        </w:tc>
        <w:tc>
          <w:tcPr>
            <w:tcW w:w="0" w:type="auto"/>
          </w:tcPr>
          <w:p w14:paraId="0FC95787" w14:textId="77777777" w:rsidR="00AF76C0" w:rsidRDefault="00000000">
            <w:pPr>
              <w:pStyle w:val="Compact"/>
            </w:pPr>
            <w:r>
              <w:t>0.2605</w:t>
            </w:r>
          </w:p>
        </w:tc>
        <w:tc>
          <w:tcPr>
            <w:tcW w:w="0" w:type="auto"/>
          </w:tcPr>
          <w:p w14:paraId="3A2F7DAE" w14:textId="77777777" w:rsidR="00AF76C0" w:rsidRDefault="00000000">
            <w:pPr>
              <w:pStyle w:val="Compact"/>
            </w:pPr>
            <w:r>
              <w:t>0.4634</w:t>
            </w:r>
          </w:p>
        </w:tc>
        <w:tc>
          <w:tcPr>
            <w:tcW w:w="0" w:type="auto"/>
          </w:tcPr>
          <w:p w14:paraId="4AF5596C" w14:textId="77777777" w:rsidR="00AF76C0" w:rsidRDefault="00000000">
            <w:pPr>
              <w:pStyle w:val="Compact"/>
            </w:pPr>
            <w:r>
              <w:t>1.4906</w:t>
            </w:r>
          </w:p>
        </w:tc>
      </w:tr>
      <w:tr w:rsidR="00AF76C0" w14:paraId="58CA3F80" w14:textId="77777777">
        <w:tc>
          <w:tcPr>
            <w:tcW w:w="0" w:type="auto"/>
          </w:tcPr>
          <w:p w14:paraId="2810532A" w14:textId="77777777" w:rsidR="00AF76C0" w:rsidRDefault="00AF76C0">
            <w:pPr>
              <w:pStyle w:val="Compact"/>
            </w:pPr>
          </w:p>
        </w:tc>
        <w:tc>
          <w:tcPr>
            <w:tcW w:w="0" w:type="auto"/>
          </w:tcPr>
          <w:p w14:paraId="15532AFB" w14:textId="77777777" w:rsidR="00AF76C0" w:rsidRDefault="00000000">
            <w:pPr>
              <w:pStyle w:val="Compact"/>
            </w:pPr>
            <w:r>
              <w:t>MetaBayesDTA</w:t>
            </w:r>
          </w:p>
        </w:tc>
        <w:tc>
          <w:tcPr>
            <w:tcW w:w="0" w:type="auto"/>
          </w:tcPr>
          <w:p w14:paraId="32A4A5EB" w14:textId="77777777" w:rsidR="00AF76C0" w:rsidRDefault="00000000">
            <w:pPr>
              <w:pStyle w:val="Compact"/>
            </w:pPr>
            <w:r>
              <w:t>0.9340</w:t>
            </w:r>
          </w:p>
        </w:tc>
        <w:tc>
          <w:tcPr>
            <w:tcW w:w="0" w:type="auto"/>
          </w:tcPr>
          <w:p w14:paraId="717DEDD4" w14:textId="77777777" w:rsidR="00AF76C0" w:rsidRDefault="00000000">
            <w:pPr>
              <w:pStyle w:val="Compact"/>
            </w:pPr>
            <w:r>
              <w:t>0.2596</w:t>
            </w:r>
          </w:p>
        </w:tc>
        <w:tc>
          <w:tcPr>
            <w:tcW w:w="0" w:type="auto"/>
          </w:tcPr>
          <w:p w14:paraId="0719C678" w14:textId="77777777" w:rsidR="00AF76C0" w:rsidRDefault="00000000">
            <w:pPr>
              <w:pStyle w:val="Compact"/>
            </w:pPr>
            <w:r>
              <w:t>0.4252</w:t>
            </w:r>
          </w:p>
        </w:tc>
        <w:tc>
          <w:tcPr>
            <w:tcW w:w="0" w:type="auto"/>
          </w:tcPr>
          <w:p w14:paraId="02DFA504" w14:textId="77777777" w:rsidR="00AF76C0" w:rsidRDefault="00000000">
            <w:pPr>
              <w:pStyle w:val="Compact"/>
            </w:pPr>
            <w:r>
              <w:t>1.4428</w:t>
            </w:r>
          </w:p>
        </w:tc>
      </w:tr>
    </w:tbl>
    <w:p w14:paraId="61F3026B" w14:textId="77777777" w:rsidR="00AF76C0" w:rsidRDefault="00AF76C0">
      <w:pPr>
        <w:pStyle w:val="BodyText"/>
      </w:pPr>
    </w:p>
    <w:p w14:paraId="42B0A973" w14:textId="77777777" w:rsidR="00AF76C0" w:rsidRDefault="00000000">
      <w:pPr>
        <w:pStyle w:val="BodyText"/>
      </w:pPr>
      <w:r>
        <w:t xml:space="preserve">MetaBayesDTA provides the mean logit sensitivity for the two subgroups, which are </w:t>
      </w:r>
      <m:oMath>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L</m:t>
            </m:r>
            <m:r>
              <m:rPr>
                <m:sty m:val="p"/>
              </m:rPr>
              <w:rPr>
                <w:rFonts w:ascii="Cambria Math" w:hAnsi="Cambria Math"/>
              </w:rPr>
              <m:t>=</m:t>
            </m:r>
            <m:r>
              <w:rPr>
                <w:rFonts w:ascii="Cambria Math" w:hAnsi="Cambria Math"/>
              </w:rPr>
              <m:t>CCP1</m:t>
            </m:r>
          </m:e>
        </m:d>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A</m:t>
            </m:r>
          </m:sub>
        </m:sSub>
      </m:oMath>
      <w:r>
        <w:t xml:space="preserve"> in the CCP1 group and </w:t>
      </w:r>
      <m:oMath>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L</m:t>
            </m:r>
            <m:r>
              <m:rPr>
                <m:sty m:val="p"/>
              </m:rPr>
              <w:rPr>
                <w:rFonts w:ascii="Cambria Math" w:hAnsi="Cambria Math"/>
              </w:rPr>
              <m:t>=</m:t>
            </m:r>
            <m:r>
              <w:rPr>
                <w:rFonts w:ascii="Cambria Math" w:hAnsi="Cambria Math"/>
              </w:rPr>
              <m:t>CCP2</m:t>
            </m:r>
          </m:e>
        </m:d>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ν</m:t>
            </m:r>
          </m:e>
          <m:sub>
            <m:r>
              <w:rPr>
                <w:rFonts w:ascii="Cambria Math" w:hAnsi="Cambria Math"/>
              </w:rPr>
              <m:t>A</m:t>
            </m:r>
          </m:sub>
        </m:sSub>
      </m:oMath>
      <w:r>
        <w:t xml:space="preserve"> in the CCP2 group. The parameter estimate and posterior interval for </w:t>
      </w:r>
      <m:oMath>
        <m:sSub>
          <m:sSubPr>
            <m:ctrlPr>
              <w:rPr>
                <w:rFonts w:ascii="Cambria Math" w:hAnsi="Cambria Math"/>
              </w:rPr>
            </m:ctrlPr>
          </m:sSubPr>
          <m:e>
            <m:r>
              <w:rPr>
                <w:rFonts w:ascii="Cambria Math" w:hAnsi="Cambria Math"/>
              </w:rPr>
              <m:t>μ</m:t>
            </m:r>
          </m:e>
          <m:sub>
            <m:r>
              <w:rPr>
                <w:rFonts w:ascii="Cambria Math" w:hAnsi="Cambria Math"/>
              </w:rPr>
              <m:t>A</m:t>
            </m:r>
          </m:sub>
        </m:sSub>
      </m:oMath>
      <w:r>
        <w:t xml:space="preserve"> can be read from the output for </w:t>
      </w:r>
      <m:oMath>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L</m:t>
            </m:r>
            <m:r>
              <m:rPr>
                <m:sty m:val="p"/>
              </m:rPr>
              <w:rPr>
                <w:rFonts w:ascii="Cambria Math" w:hAnsi="Cambria Math"/>
              </w:rPr>
              <m:t>=</m:t>
            </m:r>
            <m:r>
              <w:rPr>
                <w:rFonts w:ascii="Cambria Math" w:hAnsi="Cambria Math"/>
              </w:rPr>
              <m:t>CCP1</m:t>
            </m:r>
          </m:e>
        </m:d>
      </m:oMath>
      <w:r>
        <w:t xml:space="preserve">. The standard deviation of </w:t>
      </w:r>
      <m:oMath>
        <m:sSub>
          <m:sSubPr>
            <m:ctrlPr>
              <w:rPr>
                <w:rFonts w:ascii="Cambria Math" w:hAnsi="Cambria Math"/>
              </w:rPr>
            </m:ctrlPr>
          </m:sSubPr>
          <m:e>
            <m:r>
              <w:rPr>
                <w:rFonts w:ascii="Cambria Math" w:hAnsi="Cambria Math"/>
              </w:rPr>
              <m:t>μ</m:t>
            </m:r>
          </m:e>
          <m:sub>
            <m:r>
              <w:rPr>
                <w:rFonts w:ascii="Cambria Math" w:hAnsi="Cambria Math"/>
              </w:rPr>
              <m:t>A</m:t>
            </m:r>
          </m:sub>
        </m:sSub>
      </m:oMath>
      <w:r>
        <w:t xml:space="preserve"> is</w:t>
      </w:r>
    </w:p>
    <w:p w14:paraId="0E616DCF"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
                <m:sSubPr>
                  <m:ctrlPr>
                    <w:rPr>
                      <w:rFonts w:ascii="Cambria Math" w:hAnsi="Cambria Math"/>
                    </w:rPr>
                  </m:ctrlPr>
                </m:sSubPr>
                <m:e>
                  <m:r>
                    <w:rPr>
                      <w:rFonts w:ascii="Cambria Math" w:hAnsi="Cambria Math"/>
                    </w:rPr>
                    <m:t>μ</m:t>
                  </m:r>
                </m:e>
                <m:sub>
                  <m:r>
                    <w:rPr>
                      <w:rFonts w:ascii="Cambria Math" w:hAnsi="Cambria Math"/>
                    </w:rPr>
                    <m:t>A</m:t>
                  </m:r>
                </m:sub>
              </m:sSub>
            </m:e>
          </m:d>
          <m:r>
            <m:rPr>
              <m:sty m:val="p"/>
            </m:rPr>
            <w:rPr>
              <w:rFonts w:ascii="Cambria Math" w:hAnsi="Cambria Math"/>
            </w:rPr>
            <m:t>=</m:t>
          </m:r>
          <m:r>
            <w:rPr>
              <w:rFonts w:ascii="Cambria Math" w:hAnsi="Cambria Math"/>
            </w:rPr>
            <m:t>0.650</m:t>
          </m:r>
          <m:r>
            <m:rPr>
              <m:sty m:val="p"/>
            </m:rPr>
            <w:rPr>
              <w:rFonts w:ascii="Cambria Math" w:hAnsi="Cambria Math"/>
            </w:rPr>
            <m:t>/</m:t>
          </m:r>
          <m:rad>
            <m:radPr>
              <m:degHide m:val="1"/>
              <m:ctrlPr>
                <w:rPr>
                  <w:rFonts w:ascii="Cambria Math" w:hAnsi="Cambria Math"/>
                </w:rPr>
              </m:ctrlPr>
            </m:radPr>
            <m:deg/>
            <m:e>
              <m:r>
                <w:rPr>
                  <w:rFonts w:ascii="Cambria Math" w:hAnsi="Cambria Math"/>
                </w:rPr>
                <m:t>8</m:t>
              </m:r>
            </m:e>
          </m:rad>
          <m:r>
            <m:rPr>
              <m:sty m:val="p"/>
            </m:rPr>
            <w:rPr>
              <w:rFonts w:ascii="Cambria Math" w:hAnsi="Cambria Math"/>
            </w:rPr>
            <m:t>=</m:t>
          </m:r>
          <m:r>
            <w:rPr>
              <w:rFonts w:ascii="Cambria Math" w:hAnsi="Cambria Math"/>
            </w:rPr>
            <m:t>0.2298</m:t>
          </m:r>
        </m:oMath>
      </m:oMathPara>
    </w:p>
    <w:p w14:paraId="4ABE472F" w14:textId="77777777" w:rsidR="00AF76C0" w:rsidRDefault="00000000">
      <w:pPr>
        <w:pStyle w:val="FirstParagraph"/>
      </w:pPr>
      <w:r>
        <w:t xml:space="preserve">where </w:t>
      </w:r>
      <m:oMath>
        <m:r>
          <w:rPr>
            <w:rFonts w:ascii="Cambria Math" w:hAnsi="Cambria Math"/>
          </w:rPr>
          <m:t>0.650</m:t>
        </m:r>
      </m:oMath>
      <w:r>
        <w:t xml:space="preserve"> is </w:t>
      </w:r>
      <m:oMath>
        <m:sSub>
          <m:sSubPr>
            <m:ctrlPr>
              <w:rPr>
                <w:rFonts w:ascii="Cambria Math" w:hAnsi="Cambria Math"/>
              </w:rPr>
            </m:ctrlPr>
          </m:sSubPr>
          <m:e>
            <m:r>
              <w:rPr>
                <w:rFonts w:ascii="Cambria Math" w:hAnsi="Cambria Math"/>
              </w:rPr>
              <m:t>σ</m:t>
            </m:r>
          </m:e>
          <m:sub>
            <m:r>
              <w:rPr>
                <w:rFonts w:ascii="Cambria Math" w:hAnsi="Cambria Math"/>
              </w:rPr>
              <m:t>A</m:t>
            </m:r>
          </m:sub>
        </m:sSub>
      </m:oMath>
      <w:r>
        <w:t xml:space="preserve"> (</w:t>
      </w:r>
      <m:oMath>
        <m:sSub>
          <m:sSubPr>
            <m:ctrlPr>
              <w:rPr>
                <w:rFonts w:ascii="Cambria Math" w:hAnsi="Cambria Math"/>
              </w:rPr>
            </m:ctrlPr>
          </m:sSubPr>
          <m:e>
            <m:r>
              <w:rPr>
                <w:rFonts w:ascii="Cambria Math" w:hAnsi="Cambria Math"/>
              </w:rPr>
              <m:t>σ</m:t>
            </m:r>
          </m:e>
          <m:sub>
            <m:r>
              <w:rPr>
                <w:rFonts w:ascii="Cambria Math" w:hAnsi="Cambria Math"/>
              </w:rPr>
              <m:t>1</m:t>
            </m:r>
          </m:sub>
        </m:sSub>
      </m:oMath>
      <w:r>
        <w:t xml:space="preserve"> in MetaBayesDTA) and </w:t>
      </w:r>
      <m:oMath>
        <m:r>
          <w:rPr>
            <w:rFonts w:ascii="Cambria Math" w:hAnsi="Cambria Math"/>
          </w:rPr>
          <m:t>8</m:t>
        </m:r>
      </m:oMath>
      <w:r>
        <w:t xml:space="preserve"> is the number of trials in the CCP1 group.</w:t>
      </w:r>
    </w:p>
    <w:p w14:paraId="00BDBDA1" w14:textId="77777777" w:rsidR="00AF76C0" w:rsidRDefault="00000000">
      <w:pPr>
        <w:pStyle w:val="BodyText"/>
      </w:pPr>
      <w:r>
        <w:lastRenderedPageBreak/>
        <w:t xml:space="preserve">The parameter estimate for </w:t>
      </w:r>
      <m:oMath>
        <m:sSub>
          <m:sSubPr>
            <m:ctrlPr>
              <w:rPr>
                <w:rFonts w:ascii="Cambria Math" w:hAnsi="Cambria Math"/>
              </w:rPr>
            </m:ctrlPr>
          </m:sSubPr>
          <m:e>
            <m:r>
              <w:rPr>
                <w:rFonts w:ascii="Cambria Math" w:hAnsi="Cambria Math"/>
              </w:rPr>
              <m:t>ν</m:t>
            </m:r>
          </m:e>
          <m:sub>
            <m:r>
              <w:rPr>
                <w:rFonts w:ascii="Cambria Math" w:hAnsi="Cambria Math"/>
              </w:rPr>
              <m:t>A</m:t>
            </m:r>
          </m:sub>
        </m:sSub>
      </m:oMath>
      <w:r>
        <w:t xml:space="preserve"> is </w:t>
      </w:r>
      <m:oMath>
        <m:r>
          <w:rPr>
            <w:rFonts w:ascii="Cambria Math" w:hAnsi="Cambria Math"/>
          </w:rPr>
          <m:t>0.866</m:t>
        </m:r>
        <m:r>
          <m:rPr>
            <m:sty m:val="p"/>
          </m:rPr>
          <w:rPr>
            <w:rFonts w:ascii="Cambria Math" w:hAnsi="Cambria Math"/>
          </w:rPr>
          <m:t>--</m:t>
        </m:r>
        <m:r>
          <w:rPr>
            <w:rFonts w:ascii="Cambria Math" w:hAnsi="Cambria Math"/>
          </w:rPr>
          <m:t>0.068</m:t>
        </m:r>
        <m:r>
          <m:rPr>
            <m:sty m:val="p"/>
          </m:rPr>
          <w:rPr>
            <w:rFonts w:ascii="Cambria Math" w:hAnsi="Cambria Math"/>
          </w:rPr>
          <m:t>=</m:t>
        </m:r>
        <m:r>
          <w:rPr>
            <w:rFonts w:ascii="Cambria Math" w:hAnsi="Cambria Math"/>
          </w:rPr>
          <m:t>0.934</m:t>
        </m:r>
      </m:oMath>
      <w:r>
        <w:t xml:space="preserve"> where </w:t>
      </w:r>
      <m:oMath>
        <m:r>
          <w:rPr>
            <w:rFonts w:ascii="Cambria Math" w:hAnsi="Cambria Math"/>
          </w:rPr>
          <m:t>0.866</m:t>
        </m:r>
      </m:oMath>
      <w:r>
        <w:t xml:space="preserve"> is </w:t>
      </w:r>
      <m:oMath>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L</m:t>
        </m:r>
        <m:r>
          <m:rPr>
            <m:sty m:val="p"/>
          </m:rPr>
          <w:rPr>
            <w:rFonts w:ascii="Cambria Math" w:hAnsi="Cambria Math"/>
          </w:rPr>
          <m:t>=</m:t>
        </m:r>
        <m:r>
          <w:rPr>
            <w:rFonts w:ascii="Cambria Math" w:hAnsi="Cambria Math"/>
          </w:rPr>
          <m:t>CCP2</m:t>
        </m:r>
      </m:oMath>
      <w:r>
        <w:t xml:space="preserve"> and </w:t>
      </w:r>
      <m:oMath>
        <m:r>
          <m:rPr>
            <m:sty m:val="p"/>
          </m:rPr>
          <w:rPr>
            <w:rFonts w:ascii="Cambria Math" w:hAnsi="Cambria Math"/>
          </w:rPr>
          <m:t>-</m:t>
        </m:r>
        <m:r>
          <w:rPr>
            <w:rFonts w:ascii="Cambria Math" w:hAnsi="Cambria Math"/>
          </w:rPr>
          <m:t>0.068</m:t>
        </m:r>
      </m:oMath>
      <w:r>
        <w:t xml:space="preserve"> is </w:t>
      </w:r>
      <m:oMath>
        <m:sSub>
          <m:sSubPr>
            <m:ctrlPr>
              <w:rPr>
                <w:rFonts w:ascii="Cambria Math" w:hAnsi="Cambria Math"/>
              </w:rPr>
            </m:ctrlPr>
          </m:sSubPr>
          <m:e>
            <m:r>
              <w:rPr>
                <w:rFonts w:ascii="Cambria Math" w:hAnsi="Cambria Math"/>
              </w:rPr>
              <m:t>μ</m:t>
            </m:r>
          </m:e>
          <m:sub>
            <m:r>
              <w:rPr>
                <w:rFonts w:ascii="Cambria Math" w:hAnsi="Cambria Math"/>
              </w:rPr>
              <m:t>1</m:t>
            </m:r>
          </m:sub>
        </m:sSub>
        <m:r>
          <w:rPr>
            <w:rFonts w:ascii="Cambria Math" w:hAnsi="Cambria Math"/>
          </w:rPr>
          <m:t>L</m:t>
        </m:r>
        <m:r>
          <m:rPr>
            <m:sty m:val="p"/>
          </m:rPr>
          <w:rPr>
            <w:rFonts w:ascii="Cambria Math" w:hAnsi="Cambria Math"/>
          </w:rPr>
          <m:t>=</m:t>
        </m:r>
        <m:r>
          <w:rPr>
            <w:rFonts w:ascii="Cambria Math" w:hAnsi="Cambria Math"/>
          </w:rPr>
          <m:t>CCP1</m:t>
        </m:r>
      </m:oMath>
      <w:r>
        <w:t>.</w:t>
      </w:r>
    </w:p>
    <w:p w14:paraId="0A207E04" w14:textId="77777777" w:rsidR="00AF76C0" w:rsidRDefault="00000000">
      <w:pPr>
        <w:pStyle w:val="BodyText"/>
      </w:pPr>
      <w:r>
        <w:t xml:space="preserve">The standard deviation of </w:t>
      </w:r>
      <m:oMath>
        <m:sSub>
          <m:sSubPr>
            <m:ctrlPr>
              <w:rPr>
                <w:rFonts w:ascii="Cambria Math" w:hAnsi="Cambria Math"/>
              </w:rPr>
            </m:ctrlPr>
          </m:sSubPr>
          <m:e>
            <m:r>
              <w:rPr>
                <w:rFonts w:ascii="Cambria Math" w:hAnsi="Cambria Math"/>
              </w:rPr>
              <m:t>ν</m:t>
            </m:r>
          </m:e>
          <m:sub>
            <m:r>
              <w:rPr>
                <w:rFonts w:ascii="Cambria Math" w:hAnsi="Cambria Math"/>
              </w:rPr>
              <m:t>A</m:t>
            </m:r>
          </m:sub>
        </m:sSub>
      </m:oMath>
      <w:r>
        <w:t xml:space="preserve"> is</w:t>
      </w:r>
    </w:p>
    <w:p w14:paraId="1B8F1F98"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b>
                <m:sSubPr>
                  <m:ctrlPr>
                    <w:rPr>
                      <w:rFonts w:ascii="Cambria Math" w:hAnsi="Cambria Math"/>
                    </w:rPr>
                  </m:ctrlPr>
                </m:sSubPr>
                <m:e>
                  <m:r>
                    <w:rPr>
                      <w:rFonts w:ascii="Cambria Math" w:hAnsi="Cambria Math"/>
                    </w:rPr>
                    <m:t>ν</m:t>
                  </m:r>
                </m:e>
                <m:sub>
                  <m:r>
                    <w:rPr>
                      <w:rFonts w:ascii="Cambria Math" w:hAnsi="Cambria Math"/>
                    </w:rPr>
                    <m:t>A</m:t>
                  </m:r>
                </m:sub>
              </m:sSub>
            </m:e>
          </m:d>
          <m:r>
            <m:rPr>
              <m:sty m:val="p"/>
            </m:rPr>
            <w:rPr>
              <w:rFonts w:ascii="Cambria Math" w:hAnsi="Cambria Math"/>
            </w:rPr>
            <m:t>=</m:t>
          </m:r>
          <m:r>
            <w:rPr>
              <w:rFonts w:ascii="Cambria Math" w:hAnsi="Cambria Math"/>
            </w:rPr>
            <m:t>0.650</m:t>
          </m:r>
          <m:rad>
            <m:radPr>
              <m:degHide m:val="1"/>
              <m:ctrlPr>
                <w:rPr>
                  <w:rFonts w:ascii="Cambria Math" w:hAnsi="Cambria Math"/>
                </w:rPr>
              </m:ctrlPr>
            </m:radPr>
            <m:deg/>
            <m:e>
              <m:r>
                <w:rPr>
                  <w:rFonts w:ascii="Cambria Math" w:hAnsi="Cambria Math"/>
                </w:rPr>
                <m:t>37</m:t>
              </m:r>
            </m:e>
          </m:rad>
          <m:r>
            <m:rPr>
              <m:sty m:val="p"/>
            </m:rPr>
            <w:rPr>
              <w:rFonts w:ascii="Cambria Math" w:hAnsi="Cambria Math"/>
            </w:rPr>
            <m:t>/</m:t>
          </m:r>
          <m:rad>
            <m:radPr>
              <m:degHide m:val="1"/>
              <m:ctrlPr>
                <w:rPr>
                  <w:rFonts w:ascii="Cambria Math" w:hAnsi="Cambria Math"/>
                </w:rPr>
              </m:ctrlPr>
            </m:radPr>
            <m:deg/>
            <m:e>
              <m:r>
                <w:rPr>
                  <w:rFonts w:ascii="Cambria Math" w:hAnsi="Cambria Math"/>
                </w:rPr>
                <m:t>8</m:t>
              </m:r>
              <m:r>
                <m:rPr>
                  <m:sty m:val="p"/>
                </m:rPr>
                <w:rPr>
                  <w:rFonts w:ascii="Cambria Math" w:hAnsi="Cambria Math"/>
                </w:rPr>
                <m:t>×</m:t>
              </m:r>
              <m:r>
                <w:rPr>
                  <w:rFonts w:ascii="Cambria Math" w:hAnsi="Cambria Math"/>
                </w:rPr>
                <m:t>29</m:t>
              </m:r>
            </m:e>
          </m:rad>
          <m:r>
            <m:rPr>
              <m:sty m:val="p"/>
            </m:rPr>
            <w:rPr>
              <w:rFonts w:ascii="Cambria Math" w:hAnsi="Cambria Math"/>
            </w:rPr>
            <m:t>=</m:t>
          </m:r>
          <m:r>
            <w:rPr>
              <w:rFonts w:ascii="Cambria Math" w:hAnsi="Cambria Math"/>
            </w:rPr>
            <m:t>0.2596</m:t>
          </m:r>
        </m:oMath>
      </m:oMathPara>
    </w:p>
    <w:p w14:paraId="5CBBDBC7" w14:textId="77777777" w:rsidR="00AF76C0" w:rsidRDefault="00000000">
      <w:pPr>
        <w:pStyle w:val="FirstParagraph"/>
      </w:pPr>
      <w:r>
        <w:t>where 29 is the number of trials in the CCP2 group and 37 is the total number of trials.</w:t>
      </w:r>
    </w:p>
    <w:p w14:paraId="2DEB436A" w14:textId="77777777" w:rsidR="00AF76C0" w:rsidRDefault="00000000">
      <w:pPr>
        <w:pStyle w:val="BodyText"/>
      </w:pPr>
      <w:r>
        <w:t xml:space="preserve">The 95% posterior interval for </w:t>
      </w:r>
      <m:oMath>
        <m:sSub>
          <m:sSubPr>
            <m:ctrlPr>
              <w:rPr>
                <w:rFonts w:ascii="Cambria Math" w:hAnsi="Cambria Math"/>
              </w:rPr>
            </m:ctrlPr>
          </m:sSubPr>
          <m:e>
            <m:r>
              <w:rPr>
                <w:rFonts w:ascii="Cambria Math" w:hAnsi="Cambria Math"/>
              </w:rPr>
              <m:t>ν</m:t>
            </m:r>
          </m:e>
          <m:sub>
            <m:r>
              <w:rPr>
                <w:rFonts w:ascii="Cambria Math" w:hAnsi="Cambria Math"/>
              </w:rPr>
              <m:t>A</m:t>
            </m:r>
          </m:sub>
        </m:sSub>
      </m:oMath>
      <w:r>
        <w:t xml:space="preserve"> is then estimated by</w:t>
      </w:r>
    </w:p>
    <w:p w14:paraId="3585FAC5" w14:textId="77777777" w:rsidR="00AF76C0" w:rsidRDefault="00000000">
      <w:pPr>
        <w:pStyle w:val="BodyText"/>
      </w:pPr>
      <m:oMathPara>
        <m:oMathParaPr>
          <m:jc m:val="center"/>
        </m:oMathParaPr>
        <m:oMath>
          <m:r>
            <w:rPr>
              <w:rFonts w:ascii="Cambria Math" w:hAnsi="Cambria Math"/>
            </w:rPr>
            <m:t>0.934</m:t>
          </m:r>
          <m:r>
            <m:rPr>
              <m:sty m:val="p"/>
            </m:rPr>
            <w:rPr>
              <w:rFonts w:ascii="Cambria Math" w:hAnsi="Cambria Math"/>
            </w:rPr>
            <m:t>±</m:t>
          </m:r>
          <m:r>
            <w:rPr>
              <w:rFonts w:ascii="Cambria Math" w:hAnsi="Cambria Math"/>
            </w:rPr>
            <m:t>1.96</m:t>
          </m:r>
          <m:r>
            <m:rPr>
              <m:sty m:val="p"/>
            </m:rPr>
            <w:rPr>
              <w:rFonts w:ascii="Cambria Math" w:hAnsi="Cambria Math"/>
            </w:rPr>
            <m:t>×</m:t>
          </m:r>
          <m:r>
            <w:rPr>
              <w:rFonts w:ascii="Cambria Math" w:hAnsi="Cambria Math"/>
            </w:rPr>
            <m:t>0.2596</m:t>
          </m:r>
          <m:r>
            <m:rPr>
              <m:sty m:val="p"/>
            </m:rPr>
            <w:rPr>
              <w:rFonts w:ascii="Cambria Math" w:hAnsi="Cambria Math"/>
            </w:rPr>
            <m:t>=</m:t>
          </m:r>
          <m:d>
            <m:dPr>
              <m:ctrlPr>
                <w:rPr>
                  <w:rFonts w:ascii="Cambria Math" w:hAnsi="Cambria Math"/>
                </w:rPr>
              </m:ctrlPr>
            </m:dPr>
            <m:e>
              <m:r>
                <w:rPr>
                  <w:rFonts w:ascii="Cambria Math" w:hAnsi="Cambria Math"/>
                </w:rPr>
                <m:t>0.4252</m:t>
              </m:r>
              <m:r>
                <m:rPr>
                  <m:sty m:val="p"/>
                </m:rPr>
                <w:rPr>
                  <w:rFonts w:ascii="Cambria Math" w:hAnsi="Cambria Math"/>
                </w:rPr>
                <m:t>,</m:t>
              </m:r>
              <m:r>
                <w:rPr>
                  <w:rFonts w:ascii="Cambria Math" w:hAnsi="Cambria Math"/>
                </w:rPr>
                <m:t>1.4428</m:t>
              </m:r>
            </m:e>
          </m:d>
        </m:oMath>
      </m:oMathPara>
    </w:p>
    <w:p w14:paraId="6FF2396C" w14:textId="77777777" w:rsidR="00AF76C0" w:rsidRDefault="00000000">
      <w:pPr>
        <w:pStyle w:val="Heading1"/>
      </w:pPr>
      <w:bookmarkStart w:id="42" w:name="X36f81c8b9e6b6b07d16bab2134ee90fe3359a03"/>
      <w:bookmarkStart w:id="43" w:name="_Toc153208230"/>
      <w:bookmarkEnd w:id="32"/>
      <w:bookmarkEnd w:id="38"/>
      <w:bookmarkEnd w:id="40"/>
      <w:r>
        <w:rPr>
          <w:rStyle w:val="SectionNumber"/>
        </w:rPr>
        <w:t>5</w:t>
      </w:r>
      <w:r>
        <w:tab/>
        <w:t>Meta-regression in the HSROC model, 9.4.6.5 Example 2 continued: Investigating heterogeneity in diagnostic accuracy of rheumatoid factor (RF)</w:t>
      </w:r>
      <w:bookmarkEnd w:id="43"/>
    </w:p>
    <w:p w14:paraId="3A91C69E" w14:textId="77777777" w:rsidR="00AF76C0" w:rsidRDefault="00AF76C0">
      <w:pPr>
        <w:pStyle w:val="FirstParagraph"/>
      </w:pPr>
    </w:p>
    <w:p w14:paraId="057D61E9" w14:textId="77777777" w:rsidR="00AF76C0" w:rsidRDefault="00000000">
      <w:pPr>
        <w:pStyle w:val="BodyText"/>
      </w:pPr>
      <w:r>
        <w:t xml:space="preserve">This is an extension of the model from section 3, using the same data set, </w:t>
      </w:r>
      <w:r>
        <w:rPr>
          <w:i/>
          <w:iCs/>
        </w:rPr>
        <w:t>RF.csv</w:t>
      </w:r>
      <w:r>
        <w:t>. As stated in that section, MetaBayesDTA obtains the parameters from the HSROC model by fitting the bivariate model and then converting the parameters. The procedure is valid because the two models are equivalent when there are no covariates. In this example, covariates are added to the cutpoint (</w:t>
      </w:r>
      <m:oMath>
        <m:r>
          <w:rPr>
            <w:rFonts w:ascii="Cambria Math" w:hAnsi="Cambria Math"/>
          </w:rPr>
          <m:t>θ</m:t>
        </m:r>
      </m:oMath>
      <w:r>
        <w:t>) and accuracy (</w:t>
      </w:r>
      <m:oMath>
        <m:r>
          <w:rPr>
            <w:rFonts w:ascii="Cambria Math" w:hAnsi="Cambria Math"/>
          </w:rPr>
          <m:t>α</m:t>
        </m:r>
      </m:oMath>
      <w:r>
        <w:t>) parameters, but not to the shape (</w:t>
      </w:r>
      <m:oMath>
        <m:r>
          <w:rPr>
            <w:rFonts w:ascii="Cambria Math" w:hAnsi="Cambria Math"/>
          </w:rPr>
          <m:t>β</m:t>
        </m:r>
      </m:oMath>
      <w:r>
        <w:t>) parameter. This model is equivalent to the bivariate model with the addition of the same covariates to both the mean logit sensitivity and mean logit specificity. Therefore the procedure of fitting the bivariate model and deriving the parameter estimates for the HSROC model is also valid in this situation.</w:t>
      </w:r>
    </w:p>
    <w:p w14:paraId="3621D833" w14:textId="77777777" w:rsidR="00AF76C0" w:rsidRDefault="00AF76C0">
      <w:pPr>
        <w:pStyle w:val="BodyText"/>
      </w:pPr>
    </w:p>
    <w:p w14:paraId="4B6FEAFA" w14:textId="77777777" w:rsidR="00AF76C0" w:rsidRDefault="00000000">
      <w:pPr>
        <w:pStyle w:val="Heading2"/>
      </w:pPr>
      <w:bookmarkStart w:id="44" w:name="format-the-dataset-2"/>
      <w:bookmarkStart w:id="45" w:name="_Toc153208231"/>
      <w:r>
        <w:rPr>
          <w:rStyle w:val="SectionNumber"/>
        </w:rPr>
        <w:t>5.1</w:t>
      </w:r>
      <w:r>
        <w:tab/>
        <w:t>Format the dataset</w:t>
      </w:r>
      <w:bookmarkEnd w:id="45"/>
    </w:p>
    <w:p w14:paraId="1F96597B" w14:textId="77777777" w:rsidR="00AF76C0" w:rsidRDefault="00AF76C0">
      <w:pPr>
        <w:pStyle w:val="FirstParagraph"/>
      </w:pPr>
    </w:p>
    <w:p w14:paraId="65F3834C" w14:textId="77777777" w:rsidR="00AF76C0" w:rsidRDefault="00000000">
      <w:pPr>
        <w:pStyle w:val="BodyText"/>
      </w:pPr>
      <w:r>
        <w:t xml:space="preserve">Remember to rename the covariate </w:t>
      </w:r>
      <w:r>
        <w:rPr>
          <w:b/>
          <w:bCs/>
        </w:rPr>
        <w:t>Method</w:t>
      </w:r>
      <w:r>
        <w:t xml:space="preserve"> to </w:t>
      </w:r>
      <w:r>
        <w:rPr>
          <w:b/>
          <w:bCs/>
        </w:rPr>
        <w:t>Method.cat</w:t>
      </w:r>
      <w:r>
        <w:t>.</w:t>
      </w:r>
    </w:p>
    <w:p w14:paraId="4A00DC9E" w14:textId="77777777" w:rsidR="00AF76C0" w:rsidRDefault="00000000">
      <w:pPr>
        <w:pStyle w:val="BodyText"/>
      </w:pPr>
      <w:r>
        <w:t xml:space="preserve">Three of the trials are excluded from the example, so they must be deleted from the dataset. They are the ones that have </w:t>
      </w:r>
      <w:r>
        <w:rPr>
          <w:b/>
          <w:bCs/>
        </w:rPr>
        <w:t>Method.cat</w:t>
      </w:r>
      <w:r>
        <w:t xml:space="preserve"> equal to “Not reported” or “RA hemagglutination”. Amongst the remaining forty seven, some have </w:t>
      </w:r>
      <w:r>
        <w:rPr>
          <w:b/>
          <w:bCs/>
        </w:rPr>
        <w:t>Method.cat</w:t>
      </w:r>
      <w:r>
        <w:t xml:space="preserve"> equal to “Nephelometry” and some to “Nephelometry ”, with or without a space at the end. MetaBayesDTA will interpret these as different levels of the variable, so the spaces must be removed where they appear.</w:t>
      </w:r>
    </w:p>
    <w:p w14:paraId="1E1C635B" w14:textId="77777777" w:rsidR="00AF76C0" w:rsidRDefault="00AF76C0">
      <w:pPr>
        <w:pStyle w:val="BodyText"/>
      </w:pPr>
    </w:p>
    <w:p w14:paraId="421C5840" w14:textId="77777777" w:rsidR="00AF76C0" w:rsidRDefault="00000000">
      <w:pPr>
        <w:pStyle w:val="Heading2"/>
      </w:pPr>
      <w:bookmarkStart w:id="46" w:name="analyse-the-data-2"/>
      <w:bookmarkStart w:id="47" w:name="_Toc153208232"/>
      <w:bookmarkEnd w:id="44"/>
      <w:r>
        <w:rPr>
          <w:rStyle w:val="SectionNumber"/>
        </w:rPr>
        <w:t>5.2</w:t>
      </w:r>
      <w:r>
        <w:tab/>
        <w:t>Analyse the data</w:t>
      </w:r>
      <w:bookmarkEnd w:id="47"/>
    </w:p>
    <w:p w14:paraId="54725FF2" w14:textId="77777777" w:rsidR="00AF76C0" w:rsidRDefault="00AF76C0">
      <w:pPr>
        <w:pStyle w:val="FirstParagraph"/>
      </w:pPr>
    </w:p>
    <w:p w14:paraId="42D7B8CE" w14:textId="77777777" w:rsidR="00AF76C0" w:rsidRDefault="00000000">
      <w:pPr>
        <w:pStyle w:val="BodyText"/>
      </w:pPr>
      <w:r>
        <w:lastRenderedPageBreak/>
        <w:t>Follow the instructions for meta-regression in section 4.</w:t>
      </w:r>
    </w:p>
    <w:p w14:paraId="68D99445" w14:textId="77777777" w:rsidR="00AF76C0" w:rsidRDefault="00AF76C0">
      <w:pPr>
        <w:pStyle w:val="BodyText"/>
      </w:pPr>
    </w:p>
    <w:p w14:paraId="7E1A084F" w14:textId="77777777" w:rsidR="00AF76C0" w:rsidRDefault="00000000">
      <w:pPr>
        <w:pStyle w:val="Heading2"/>
      </w:pPr>
      <w:bookmarkStart w:id="48" w:name="add-the-sroc-curve-1"/>
      <w:bookmarkStart w:id="49" w:name="_Toc153208233"/>
      <w:bookmarkEnd w:id="46"/>
      <w:r>
        <w:rPr>
          <w:rStyle w:val="SectionNumber"/>
        </w:rPr>
        <w:t>5.3</w:t>
      </w:r>
      <w:r>
        <w:tab/>
        <w:t>Add the SROC curve</w:t>
      </w:r>
      <w:bookmarkEnd w:id="49"/>
    </w:p>
    <w:p w14:paraId="47BDB875" w14:textId="77777777" w:rsidR="00AF76C0" w:rsidRDefault="00AF76C0">
      <w:pPr>
        <w:pStyle w:val="FirstParagraph"/>
      </w:pPr>
    </w:p>
    <w:p w14:paraId="545A40C9" w14:textId="77777777" w:rsidR="00AF76C0" w:rsidRDefault="00000000">
      <w:pPr>
        <w:pStyle w:val="BodyText"/>
      </w:pPr>
      <w:r>
        <w:t xml:space="preserve">In addition to ticking the </w:t>
      </w:r>
      <w:r>
        <w:rPr>
          <w:b/>
          <w:bCs/>
        </w:rPr>
        <w:t>sROC curve</w:t>
      </w:r>
      <w:r>
        <w:t xml:space="preserve"> box, as in section 3, this time the </w:t>
      </w:r>
      <w:r>
        <w:rPr>
          <w:b/>
          <w:bCs/>
        </w:rPr>
        <w:t>extrapolate HSROC curve beyond observed Se/Sp data points</w:t>
      </w:r>
      <w:r>
        <w:t xml:space="preserve"> should also be ticked.</w:t>
      </w:r>
    </w:p>
    <w:p w14:paraId="25744885" w14:textId="77777777" w:rsidR="00AF76C0" w:rsidRDefault="00AF76C0">
      <w:pPr>
        <w:pStyle w:val="BodyText"/>
      </w:pPr>
    </w:p>
    <w:p w14:paraId="790EE690" w14:textId="77777777" w:rsidR="00AF76C0" w:rsidRDefault="00000000">
      <w:pPr>
        <w:pStyle w:val="BodyText"/>
      </w:pPr>
      <w:r>
        <w:rPr>
          <w:noProof/>
        </w:rPr>
        <w:drawing>
          <wp:inline distT="0" distB="0" distL="0" distR="0" wp14:anchorId="79C38296" wp14:editId="5C75AA5A">
            <wp:extent cx="2133600" cy="1791082"/>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37" name="Picture" descr="./Cochrane_DTA_9.4.6.4_example_2/Pictures/SROC.png"/>
                    <pic:cNvPicPr>
                      <a:picLocks noChangeAspect="1" noChangeArrowheads="1"/>
                    </pic:cNvPicPr>
                  </pic:nvPicPr>
                  <pic:blipFill>
                    <a:blip r:embed="rId41"/>
                    <a:stretch>
                      <a:fillRect/>
                    </a:stretch>
                  </pic:blipFill>
                  <pic:spPr bwMode="auto">
                    <a:xfrm>
                      <a:off x="0" y="0"/>
                      <a:ext cx="2133600" cy="1791082"/>
                    </a:xfrm>
                    <a:prstGeom prst="rect">
                      <a:avLst/>
                    </a:prstGeom>
                    <a:noFill/>
                    <a:ln w="9525">
                      <a:noFill/>
                      <a:headEnd/>
                      <a:tailEnd/>
                    </a:ln>
                  </pic:spPr>
                </pic:pic>
              </a:graphicData>
            </a:graphic>
          </wp:inline>
        </w:drawing>
      </w:r>
    </w:p>
    <w:p w14:paraId="4BB010C2" w14:textId="77777777" w:rsidR="00AF76C0" w:rsidRDefault="00AF76C0">
      <w:pPr>
        <w:pStyle w:val="BodyText"/>
      </w:pPr>
    </w:p>
    <w:p w14:paraId="3C7FB247" w14:textId="77777777" w:rsidR="00AF76C0" w:rsidRDefault="00000000">
      <w:pPr>
        <w:pStyle w:val="BodyText"/>
      </w:pPr>
      <w:r>
        <w:t>The SROC plot should look like this:</w:t>
      </w:r>
    </w:p>
    <w:p w14:paraId="09E7126E" w14:textId="77777777" w:rsidR="00AF76C0" w:rsidRDefault="00AF76C0">
      <w:pPr>
        <w:pStyle w:val="BodyText"/>
      </w:pPr>
    </w:p>
    <w:p w14:paraId="00BAC820" w14:textId="77777777" w:rsidR="00AF76C0" w:rsidRDefault="00000000">
      <w:pPr>
        <w:pStyle w:val="BodyText"/>
      </w:pPr>
      <w:r>
        <w:rPr>
          <w:noProof/>
        </w:rPr>
        <w:lastRenderedPageBreak/>
        <w:drawing>
          <wp:inline distT="0" distB="0" distL="0" distR="0" wp14:anchorId="29153442" wp14:editId="2D82A198">
            <wp:extent cx="4800600" cy="3942835"/>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40" name="Picture" descr="./Cochrane_DTA_9.4.6.4_example_2/Pictures/SROC_2.png"/>
                    <pic:cNvPicPr>
                      <a:picLocks noChangeAspect="1" noChangeArrowheads="1"/>
                    </pic:cNvPicPr>
                  </pic:nvPicPr>
                  <pic:blipFill>
                    <a:blip r:embed="rId42"/>
                    <a:stretch>
                      <a:fillRect/>
                    </a:stretch>
                  </pic:blipFill>
                  <pic:spPr bwMode="auto">
                    <a:xfrm>
                      <a:off x="0" y="0"/>
                      <a:ext cx="4800600" cy="3942835"/>
                    </a:xfrm>
                    <a:prstGeom prst="rect">
                      <a:avLst/>
                    </a:prstGeom>
                    <a:noFill/>
                    <a:ln w="9525">
                      <a:noFill/>
                      <a:headEnd/>
                      <a:tailEnd/>
                    </a:ln>
                  </pic:spPr>
                </pic:pic>
              </a:graphicData>
            </a:graphic>
          </wp:inline>
        </w:drawing>
      </w:r>
    </w:p>
    <w:p w14:paraId="189C3604" w14:textId="77777777" w:rsidR="00AF76C0" w:rsidRDefault="00000000">
      <w:pPr>
        <w:pStyle w:val="Heading1"/>
      </w:pPr>
      <w:bookmarkStart w:id="50" w:name="X2b6f6e852253ab9fabb5529d1a8bb4b31dfd115"/>
      <w:bookmarkStart w:id="51" w:name="_Toc153208234"/>
      <w:bookmarkEnd w:id="42"/>
      <w:bookmarkEnd w:id="48"/>
      <w:r>
        <w:rPr>
          <w:rStyle w:val="SectionNumber"/>
        </w:rPr>
        <w:t>6</w:t>
      </w:r>
      <w:r>
        <w:tab/>
        <w:t>Comparing index tests in the bivariate model, 9.4.7.3 Example 3: CT versus MRI for the diagnosis of coronary artery disease</w:t>
      </w:r>
      <w:bookmarkEnd w:id="51"/>
    </w:p>
    <w:p w14:paraId="3BD0E862" w14:textId="77777777" w:rsidR="00AF76C0" w:rsidRDefault="00AF76C0">
      <w:pPr>
        <w:pStyle w:val="FirstParagraph"/>
      </w:pPr>
    </w:p>
    <w:p w14:paraId="586FCE08" w14:textId="77777777" w:rsidR="00AF76C0" w:rsidRDefault="00000000">
      <w:pPr>
        <w:pStyle w:val="BodyText"/>
      </w:pPr>
      <w:r>
        <w:t xml:space="preserve">In practical terms this example is no different from the previous two, so the procedure in section 4 can be followed. The dataset is </w:t>
      </w:r>
      <w:r>
        <w:rPr>
          <w:i/>
          <w:iCs/>
        </w:rPr>
        <w:t>schuetz.csv</w:t>
      </w:r>
      <w:r>
        <w:t>.</w:t>
      </w:r>
    </w:p>
    <w:p w14:paraId="543FE3A5" w14:textId="77777777" w:rsidR="00AF76C0" w:rsidRDefault="00AF76C0">
      <w:pPr>
        <w:pStyle w:val="BodyText"/>
      </w:pPr>
    </w:p>
    <w:p w14:paraId="320D0982" w14:textId="77777777" w:rsidR="00AF76C0" w:rsidRDefault="00000000">
      <w:pPr>
        <w:pStyle w:val="Heading2"/>
      </w:pPr>
      <w:bookmarkStart w:id="52" w:name="format-the-dataset-3"/>
      <w:bookmarkStart w:id="53" w:name="_Toc153208235"/>
      <w:r>
        <w:rPr>
          <w:rStyle w:val="SectionNumber"/>
        </w:rPr>
        <w:t>6.1</w:t>
      </w:r>
      <w:r>
        <w:tab/>
        <w:t>Format the dataset</w:t>
      </w:r>
      <w:bookmarkEnd w:id="53"/>
    </w:p>
    <w:p w14:paraId="39328E87" w14:textId="77777777" w:rsidR="00AF76C0" w:rsidRDefault="00AF76C0">
      <w:pPr>
        <w:pStyle w:val="FirstParagraph"/>
      </w:pPr>
    </w:p>
    <w:p w14:paraId="6392A3C3" w14:textId="77777777" w:rsidR="00AF76C0" w:rsidRDefault="00000000">
      <w:pPr>
        <w:pStyle w:val="BodyText"/>
      </w:pPr>
      <w:r>
        <w:t xml:space="preserve">In this example it is especially important to rename the index test variable from </w:t>
      </w:r>
      <w:r>
        <w:rPr>
          <w:b/>
          <w:bCs/>
        </w:rPr>
        <w:t>Test</w:t>
      </w:r>
      <w:r>
        <w:t xml:space="preserve"> to </w:t>
      </w:r>
      <w:r>
        <w:rPr>
          <w:b/>
          <w:bCs/>
        </w:rPr>
        <w:t>Test.cat</w:t>
      </w:r>
      <w:r>
        <w:t>. If this is not done, the HSROC curve will not be produced.</w:t>
      </w:r>
    </w:p>
    <w:p w14:paraId="0BA15E10" w14:textId="77777777" w:rsidR="00AF76C0" w:rsidRDefault="00AF76C0">
      <w:pPr>
        <w:pStyle w:val="BodyText"/>
      </w:pPr>
    </w:p>
    <w:p w14:paraId="48A246B5" w14:textId="77777777" w:rsidR="00AF76C0" w:rsidRDefault="00000000">
      <w:pPr>
        <w:pStyle w:val="Heading2"/>
      </w:pPr>
      <w:bookmarkStart w:id="54" w:name="analyse-the-data-3"/>
      <w:bookmarkStart w:id="55" w:name="_Toc153208236"/>
      <w:bookmarkEnd w:id="52"/>
      <w:r>
        <w:rPr>
          <w:rStyle w:val="SectionNumber"/>
        </w:rPr>
        <w:t>6.2</w:t>
      </w:r>
      <w:r>
        <w:tab/>
        <w:t>Analyse the data</w:t>
      </w:r>
      <w:bookmarkEnd w:id="55"/>
    </w:p>
    <w:p w14:paraId="147F5EC1" w14:textId="77777777" w:rsidR="00AF76C0" w:rsidRDefault="00AF76C0">
      <w:pPr>
        <w:pStyle w:val="FirstParagraph"/>
      </w:pPr>
    </w:p>
    <w:p w14:paraId="7562D326" w14:textId="77777777" w:rsidR="00AF76C0" w:rsidRDefault="00000000">
      <w:pPr>
        <w:pStyle w:val="BodyText"/>
      </w:pPr>
      <w:r>
        <w:t>Follow the instructions for meta-regression in section 4.</w:t>
      </w:r>
    </w:p>
    <w:p w14:paraId="6B4B4C1E" w14:textId="77777777" w:rsidR="00AF76C0" w:rsidRDefault="00AF76C0">
      <w:pPr>
        <w:pStyle w:val="BodyText"/>
      </w:pPr>
    </w:p>
    <w:p w14:paraId="42B409B8" w14:textId="77777777" w:rsidR="00AF76C0" w:rsidRDefault="00000000">
      <w:pPr>
        <w:pStyle w:val="Heading1"/>
      </w:pPr>
      <w:bookmarkStart w:id="56" w:name="Xf423d17beb36762fb3b80991519165da97e6a65"/>
      <w:bookmarkStart w:id="57" w:name="_Toc153208237"/>
      <w:bookmarkEnd w:id="50"/>
      <w:bookmarkEnd w:id="54"/>
      <w:r>
        <w:rPr>
          <w:rStyle w:val="SectionNumber"/>
        </w:rPr>
        <w:t>7</w:t>
      </w:r>
      <w:r>
        <w:tab/>
        <w:t>Imperfect reference standard, 10.8 Latent class meta-analysis</w:t>
      </w:r>
      <w:bookmarkEnd w:id="57"/>
    </w:p>
    <w:p w14:paraId="0FE5A433" w14:textId="77777777" w:rsidR="00AF76C0" w:rsidRDefault="00AF76C0">
      <w:pPr>
        <w:pStyle w:val="FirstParagraph"/>
      </w:pPr>
    </w:p>
    <w:p w14:paraId="77D8EF86" w14:textId="77777777" w:rsidR="00AF76C0" w:rsidRDefault="00000000">
      <w:pPr>
        <w:pStyle w:val="Heading2"/>
      </w:pPr>
      <w:bookmarkStart w:id="58" w:name="format-the-dataset-4"/>
      <w:bookmarkStart w:id="59" w:name="_Toc153208238"/>
      <w:r>
        <w:rPr>
          <w:rStyle w:val="SectionNumber"/>
        </w:rPr>
        <w:t>7.1</w:t>
      </w:r>
      <w:r>
        <w:tab/>
        <w:t>Format the dataset</w:t>
      </w:r>
      <w:bookmarkEnd w:id="59"/>
    </w:p>
    <w:p w14:paraId="5869CDF5" w14:textId="77777777" w:rsidR="00AF76C0" w:rsidRDefault="00AF76C0">
      <w:pPr>
        <w:pStyle w:val="FirstParagraph"/>
      </w:pPr>
    </w:p>
    <w:p w14:paraId="6E0F0798" w14:textId="77777777" w:rsidR="00AF76C0" w:rsidRDefault="00000000">
      <w:pPr>
        <w:pStyle w:val="BodyText"/>
      </w:pPr>
      <w:r>
        <w:t xml:space="preserve">The data in this example are provided only in the R script </w:t>
      </w:r>
      <w:r>
        <w:rPr>
          <w:i/>
          <w:iCs/>
        </w:rPr>
        <w:t>rjags - LC meta-analysis model (11.8).R</w:t>
      </w:r>
      <w:r>
        <w:t xml:space="preserve">, shown below, where </w:t>
      </w:r>
      <w:r>
        <w:rPr>
          <w:b/>
          <w:bCs/>
        </w:rPr>
        <w:t>n11</w:t>
      </w:r>
      <w:r>
        <w:t xml:space="preserve"> is </w:t>
      </w:r>
      <w:r>
        <w:rPr>
          <w:b/>
          <w:bCs/>
        </w:rPr>
        <w:t>TP</w:t>
      </w:r>
      <w:r>
        <w:t xml:space="preserve">, </w:t>
      </w:r>
      <w:r>
        <w:rPr>
          <w:b/>
          <w:bCs/>
        </w:rPr>
        <w:t>n10</w:t>
      </w:r>
      <w:r>
        <w:t xml:space="preserve"> is </w:t>
      </w:r>
      <w:r>
        <w:rPr>
          <w:b/>
          <w:bCs/>
        </w:rPr>
        <w:t>FP</w:t>
      </w:r>
      <w:r>
        <w:t xml:space="preserve">, </w:t>
      </w:r>
      <w:r>
        <w:rPr>
          <w:b/>
          <w:bCs/>
        </w:rPr>
        <w:t>n01</w:t>
      </w:r>
      <w:r>
        <w:t xml:space="preserve"> is </w:t>
      </w:r>
      <w:r>
        <w:rPr>
          <w:b/>
          <w:bCs/>
        </w:rPr>
        <w:t>FN</w:t>
      </w:r>
      <w:r>
        <w:t xml:space="preserve">, and </w:t>
      </w:r>
      <w:r>
        <w:rPr>
          <w:b/>
          <w:bCs/>
        </w:rPr>
        <w:t>n00</w:t>
      </w:r>
      <w:r>
        <w:t xml:space="preserve"> is </w:t>
      </w:r>
      <w:r>
        <w:rPr>
          <w:b/>
          <w:bCs/>
        </w:rPr>
        <w:t>TN</w:t>
      </w:r>
      <w:r>
        <w:t>. They can be typed by hand into a CSV file, though great care must be taken to avoid a transcription error when using this method. There are various alternatives in which the data can be copied without resorting to painstaking typing, one of which is now described.</w:t>
      </w:r>
    </w:p>
    <w:p w14:paraId="51A33905" w14:textId="77777777" w:rsidR="00AF76C0" w:rsidRDefault="00000000">
      <w:pPr>
        <w:pStyle w:val="BodyText"/>
      </w:pPr>
      <w:r>
        <w:t>Open the script in RStudio and run these lines.</w:t>
      </w:r>
    </w:p>
    <w:p w14:paraId="7DCF56BF" w14:textId="77777777" w:rsidR="00AF76C0" w:rsidRDefault="00AF76C0">
      <w:pPr>
        <w:pStyle w:val="BodyText"/>
      </w:pPr>
    </w:p>
    <w:p w14:paraId="163FC6BD" w14:textId="77777777" w:rsidR="00AF76C0" w:rsidRDefault="00000000">
      <w:pPr>
        <w:pStyle w:val="BodyText"/>
      </w:pPr>
      <w:r>
        <w:rPr>
          <w:noProof/>
        </w:rPr>
        <w:drawing>
          <wp:inline distT="0" distB="0" distL="0" distR="0" wp14:anchorId="077E00FD" wp14:editId="07F8A94E">
            <wp:extent cx="4800600" cy="1481197"/>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8" name="Picture" descr="./Cochrane_DTA_10.8/Pictures/RStudio_1.png"/>
                    <pic:cNvPicPr>
                      <a:picLocks noChangeAspect="1" noChangeArrowheads="1"/>
                    </pic:cNvPicPr>
                  </pic:nvPicPr>
                  <pic:blipFill>
                    <a:blip r:embed="rId43"/>
                    <a:stretch>
                      <a:fillRect/>
                    </a:stretch>
                  </pic:blipFill>
                  <pic:spPr bwMode="auto">
                    <a:xfrm>
                      <a:off x="0" y="0"/>
                      <a:ext cx="4800600" cy="1481197"/>
                    </a:xfrm>
                    <a:prstGeom prst="rect">
                      <a:avLst/>
                    </a:prstGeom>
                    <a:noFill/>
                    <a:ln w="9525">
                      <a:noFill/>
                      <a:headEnd/>
                      <a:tailEnd/>
                    </a:ln>
                  </pic:spPr>
                </pic:pic>
              </a:graphicData>
            </a:graphic>
          </wp:inline>
        </w:drawing>
      </w:r>
    </w:p>
    <w:p w14:paraId="27B802F9" w14:textId="77777777" w:rsidR="00AF76C0" w:rsidRDefault="00AF76C0">
      <w:pPr>
        <w:pStyle w:val="BodyText"/>
      </w:pPr>
    </w:p>
    <w:p w14:paraId="5956DAC7" w14:textId="77777777" w:rsidR="00AF76C0" w:rsidRDefault="00000000">
      <w:pPr>
        <w:pStyle w:val="BodyText"/>
      </w:pPr>
      <w:r>
        <w:t xml:space="preserve">Run the command </w:t>
      </w:r>
      <w:r>
        <w:rPr>
          <w:b/>
          <w:bCs/>
        </w:rPr>
        <w:t>view(cell)</w:t>
      </w:r>
      <w:r>
        <w:t xml:space="preserve">, then right click on the data and </w:t>
      </w:r>
      <w:r>
        <w:rPr>
          <w:b/>
          <w:bCs/>
        </w:rPr>
        <w:t>Select All</w:t>
      </w:r>
      <w:r>
        <w:t xml:space="preserve">. When the dataset is highlighted, copy it to the clipboard via </w:t>
      </w:r>
      <w:r>
        <w:rPr>
          <w:b/>
          <w:bCs/>
        </w:rPr>
        <w:t>Ctrl+C</w:t>
      </w:r>
      <w:r>
        <w:t>.</w:t>
      </w:r>
    </w:p>
    <w:p w14:paraId="7413F9B4" w14:textId="77777777" w:rsidR="00AF76C0" w:rsidRDefault="00AF76C0">
      <w:pPr>
        <w:pStyle w:val="BodyText"/>
      </w:pPr>
    </w:p>
    <w:p w14:paraId="3D5F606F" w14:textId="77777777" w:rsidR="00AF76C0" w:rsidRDefault="00000000">
      <w:pPr>
        <w:pStyle w:val="BodyText"/>
      </w:pPr>
      <w:r>
        <w:rPr>
          <w:noProof/>
        </w:rPr>
        <w:drawing>
          <wp:inline distT="0" distB="0" distL="0" distR="0" wp14:anchorId="6983BC12" wp14:editId="7DD2FB37">
            <wp:extent cx="4800600" cy="1494468"/>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51" name="Picture" descr="./Cochrane_DTA_10.8/Pictures/RStudio_2.png"/>
                    <pic:cNvPicPr>
                      <a:picLocks noChangeAspect="1" noChangeArrowheads="1"/>
                    </pic:cNvPicPr>
                  </pic:nvPicPr>
                  <pic:blipFill>
                    <a:blip r:embed="rId44"/>
                    <a:stretch>
                      <a:fillRect/>
                    </a:stretch>
                  </pic:blipFill>
                  <pic:spPr bwMode="auto">
                    <a:xfrm>
                      <a:off x="0" y="0"/>
                      <a:ext cx="4800600" cy="1494468"/>
                    </a:xfrm>
                    <a:prstGeom prst="rect">
                      <a:avLst/>
                    </a:prstGeom>
                    <a:noFill/>
                    <a:ln w="9525">
                      <a:noFill/>
                      <a:headEnd/>
                      <a:tailEnd/>
                    </a:ln>
                  </pic:spPr>
                </pic:pic>
              </a:graphicData>
            </a:graphic>
          </wp:inline>
        </w:drawing>
      </w:r>
    </w:p>
    <w:p w14:paraId="0F034756" w14:textId="77777777" w:rsidR="00AF76C0" w:rsidRDefault="00AF76C0">
      <w:pPr>
        <w:pStyle w:val="BodyText"/>
      </w:pPr>
    </w:p>
    <w:p w14:paraId="0BD46CE3" w14:textId="77777777" w:rsidR="00AF76C0" w:rsidRDefault="00000000">
      <w:pPr>
        <w:pStyle w:val="BodyText"/>
      </w:pPr>
      <w:r>
        <w:lastRenderedPageBreak/>
        <w:t>Open a blank spreadsheet and paste the dataset in. It should have maintained its structure, i.e. the numbers should each be in their own cell.</w:t>
      </w:r>
    </w:p>
    <w:p w14:paraId="6F61EE3E" w14:textId="77777777" w:rsidR="00AF76C0" w:rsidRDefault="00AF76C0">
      <w:pPr>
        <w:pStyle w:val="BodyText"/>
      </w:pPr>
    </w:p>
    <w:p w14:paraId="1AFDC00E" w14:textId="77777777" w:rsidR="00AF76C0" w:rsidRDefault="00000000">
      <w:pPr>
        <w:pStyle w:val="BodyText"/>
      </w:pPr>
      <w:r>
        <w:rPr>
          <w:noProof/>
        </w:rPr>
        <w:drawing>
          <wp:inline distT="0" distB="0" distL="0" distR="0" wp14:anchorId="21FC76C7" wp14:editId="6D656544">
            <wp:extent cx="4800600" cy="2184132"/>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4" name="Picture" descr="./Cochrane_DTA_10.8/Pictures/Dataset_1.png"/>
                    <pic:cNvPicPr>
                      <a:picLocks noChangeAspect="1" noChangeArrowheads="1"/>
                    </pic:cNvPicPr>
                  </pic:nvPicPr>
                  <pic:blipFill>
                    <a:blip r:embed="rId45"/>
                    <a:stretch>
                      <a:fillRect/>
                    </a:stretch>
                  </pic:blipFill>
                  <pic:spPr bwMode="auto">
                    <a:xfrm>
                      <a:off x="0" y="0"/>
                      <a:ext cx="4800600" cy="2184132"/>
                    </a:xfrm>
                    <a:prstGeom prst="rect">
                      <a:avLst/>
                    </a:prstGeom>
                    <a:noFill/>
                    <a:ln w="9525">
                      <a:noFill/>
                      <a:headEnd/>
                      <a:tailEnd/>
                    </a:ln>
                  </pic:spPr>
                </pic:pic>
              </a:graphicData>
            </a:graphic>
          </wp:inline>
        </w:drawing>
      </w:r>
    </w:p>
    <w:p w14:paraId="13BD9269" w14:textId="77777777" w:rsidR="00AF76C0" w:rsidRDefault="00AF76C0">
      <w:pPr>
        <w:pStyle w:val="BodyText"/>
      </w:pPr>
    </w:p>
    <w:p w14:paraId="6AA677E5" w14:textId="77777777" w:rsidR="00AF76C0" w:rsidRDefault="00000000">
      <w:pPr>
        <w:pStyle w:val="BodyText"/>
      </w:pPr>
      <w:r>
        <w:t xml:space="preserve">Manually edit the spreadsheet until it is in the format required by MetaBayesDTA. Dummy values can be entered for </w:t>
      </w:r>
      <w:r>
        <w:rPr>
          <w:b/>
          <w:bCs/>
        </w:rPr>
        <w:t>author</w:t>
      </w:r>
      <w:r>
        <w:t xml:space="preserve"> and </w:t>
      </w:r>
      <w:r>
        <w:rPr>
          <w:b/>
          <w:bCs/>
        </w:rPr>
        <w:t>year</w:t>
      </w:r>
      <w:r>
        <w:t xml:space="preserve">. The reference standard must be specified in a column named </w:t>
      </w:r>
      <w:r>
        <w:rPr>
          <w:b/>
          <w:bCs/>
        </w:rPr>
        <w:t>reference.cat</w:t>
      </w:r>
      <w:r>
        <w:t xml:space="preserve"> and must have the same value in each trial, which is “Culture” in the screenshot.</w:t>
      </w:r>
    </w:p>
    <w:p w14:paraId="0F527D69" w14:textId="77777777" w:rsidR="00AF76C0" w:rsidRDefault="00AF76C0">
      <w:pPr>
        <w:pStyle w:val="BodyText"/>
      </w:pPr>
    </w:p>
    <w:p w14:paraId="6AA1EA3A" w14:textId="77777777" w:rsidR="00AF76C0" w:rsidRDefault="00000000">
      <w:pPr>
        <w:pStyle w:val="BodyText"/>
      </w:pPr>
      <w:r>
        <w:rPr>
          <w:noProof/>
        </w:rPr>
        <w:drawing>
          <wp:inline distT="0" distB="0" distL="0" distR="0" wp14:anchorId="65EACBA6" wp14:editId="7B93995C">
            <wp:extent cx="3200400" cy="2910253"/>
            <wp:effectExtent l="0" t="0" r="0" b="0"/>
            <wp:docPr id="156" name="Picture"/>
            <wp:cNvGraphicFramePr/>
            <a:graphic xmlns:a="http://schemas.openxmlformats.org/drawingml/2006/main">
              <a:graphicData uri="http://schemas.openxmlformats.org/drawingml/2006/picture">
                <pic:pic xmlns:pic="http://schemas.openxmlformats.org/drawingml/2006/picture">
                  <pic:nvPicPr>
                    <pic:cNvPr id="157" name="Picture" descr="./Cochrane_DTA_10.8/Pictures/Dataset_2.png"/>
                    <pic:cNvPicPr>
                      <a:picLocks noChangeAspect="1" noChangeArrowheads="1"/>
                    </pic:cNvPicPr>
                  </pic:nvPicPr>
                  <pic:blipFill>
                    <a:blip r:embed="rId46"/>
                    <a:stretch>
                      <a:fillRect/>
                    </a:stretch>
                  </pic:blipFill>
                  <pic:spPr bwMode="auto">
                    <a:xfrm>
                      <a:off x="0" y="0"/>
                      <a:ext cx="3200400" cy="2910253"/>
                    </a:xfrm>
                    <a:prstGeom prst="rect">
                      <a:avLst/>
                    </a:prstGeom>
                    <a:noFill/>
                    <a:ln w="9525">
                      <a:noFill/>
                      <a:headEnd/>
                      <a:tailEnd/>
                    </a:ln>
                  </pic:spPr>
                </pic:pic>
              </a:graphicData>
            </a:graphic>
          </wp:inline>
        </w:drawing>
      </w:r>
    </w:p>
    <w:p w14:paraId="60A39F0A" w14:textId="77777777" w:rsidR="00AF76C0" w:rsidRDefault="00AF76C0">
      <w:pPr>
        <w:pStyle w:val="BodyText"/>
      </w:pPr>
    </w:p>
    <w:p w14:paraId="00193906" w14:textId="77777777" w:rsidR="00AF76C0" w:rsidRDefault="00000000">
      <w:pPr>
        <w:pStyle w:val="Heading2"/>
      </w:pPr>
      <w:bookmarkStart w:id="60" w:name="analyse-the-data-4"/>
      <w:bookmarkStart w:id="61" w:name="_Toc153208239"/>
      <w:bookmarkEnd w:id="58"/>
      <w:r>
        <w:rPr>
          <w:rStyle w:val="SectionNumber"/>
        </w:rPr>
        <w:lastRenderedPageBreak/>
        <w:t>7.2</w:t>
      </w:r>
      <w:r>
        <w:tab/>
        <w:t>Analyse the data</w:t>
      </w:r>
      <w:bookmarkEnd w:id="61"/>
    </w:p>
    <w:p w14:paraId="62AD4E5B" w14:textId="77777777" w:rsidR="00AF76C0" w:rsidRDefault="00AF76C0">
      <w:pPr>
        <w:pStyle w:val="FirstParagraph"/>
      </w:pPr>
    </w:p>
    <w:p w14:paraId="2DA3D539" w14:textId="77777777" w:rsidR="00AF76C0" w:rsidRDefault="00000000">
      <w:pPr>
        <w:pStyle w:val="BodyText"/>
      </w:pPr>
      <w:r>
        <w:t xml:space="preserve">Select </w:t>
      </w:r>
      <w:r>
        <w:rPr>
          <w:b/>
          <w:bCs/>
        </w:rPr>
        <w:t>Latent class meta-analysis</w:t>
      </w:r>
      <w:r>
        <w:t xml:space="preserve"> under </w:t>
      </w:r>
      <w:r>
        <w:rPr>
          <w:b/>
          <w:bCs/>
        </w:rPr>
        <w:t>Imperfect gold standard</w:t>
      </w:r>
      <w:r>
        <w:t>, and then enter the name of the index test if desired.</w:t>
      </w:r>
    </w:p>
    <w:p w14:paraId="0137BCDC" w14:textId="77777777" w:rsidR="00AF76C0" w:rsidRDefault="00AF76C0">
      <w:pPr>
        <w:pStyle w:val="BodyText"/>
      </w:pPr>
    </w:p>
    <w:p w14:paraId="5254EC88" w14:textId="77777777" w:rsidR="00AF76C0" w:rsidRDefault="00000000">
      <w:pPr>
        <w:pStyle w:val="BodyText"/>
      </w:pPr>
      <w:r>
        <w:rPr>
          <w:noProof/>
        </w:rPr>
        <w:drawing>
          <wp:inline distT="0" distB="0" distL="0" distR="0" wp14:anchorId="686F5A80" wp14:editId="12EFD8EA">
            <wp:extent cx="4800600" cy="2855807"/>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1" name="Picture" descr="./Cochrane_DTA_10.8/Pictures/Analysis_1.png"/>
                    <pic:cNvPicPr>
                      <a:picLocks noChangeAspect="1" noChangeArrowheads="1"/>
                    </pic:cNvPicPr>
                  </pic:nvPicPr>
                  <pic:blipFill>
                    <a:blip r:embed="rId47"/>
                    <a:stretch>
                      <a:fillRect/>
                    </a:stretch>
                  </pic:blipFill>
                  <pic:spPr bwMode="auto">
                    <a:xfrm>
                      <a:off x="0" y="0"/>
                      <a:ext cx="4800600" cy="2855807"/>
                    </a:xfrm>
                    <a:prstGeom prst="rect">
                      <a:avLst/>
                    </a:prstGeom>
                    <a:noFill/>
                    <a:ln w="9525">
                      <a:noFill/>
                      <a:headEnd/>
                      <a:tailEnd/>
                    </a:ln>
                  </pic:spPr>
                </pic:pic>
              </a:graphicData>
            </a:graphic>
          </wp:inline>
        </w:drawing>
      </w:r>
    </w:p>
    <w:p w14:paraId="1F03087B" w14:textId="77777777" w:rsidR="00AF76C0" w:rsidRDefault="00AF76C0">
      <w:pPr>
        <w:pStyle w:val="BodyText"/>
      </w:pPr>
    </w:p>
    <w:p w14:paraId="52692B47" w14:textId="77777777" w:rsidR="00AF76C0" w:rsidRDefault="00000000">
      <w:pPr>
        <w:pStyle w:val="BodyText"/>
      </w:pPr>
      <w:r>
        <w:rPr>
          <w:noProof/>
        </w:rPr>
        <w:drawing>
          <wp:inline distT="0" distB="0" distL="0" distR="0" wp14:anchorId="16613884" wp14:editId="2AC1D993">
            <wp:extent cx="4800600" cy="1972849"/>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4" name="Picture" descr="./Cochrane_DTA_10.8/Pictures/Analysis_2.png"/>
                    <pic:cNvPicPr>
                      <a:picLocks noChangeAspect="1" noChangeArrowheads="1"/>
                    </pic:cNvPicPr>
                  </pic:nvPicPr>
                  <pic:blipFill>
                    <a:blip r:embed="rId48"/>
                    <a:stretch>
                      <a:fillRect/>
                    </a:stretch>
                  </pic:blipFill>
                  <pic:spPr bwMode="auto">
                    <a:xfrm>
                      <a:off x="0" y="0"/>
                      <a:ext cx="4800600" cy="1972849"/>
                    </a:xfrm>
                    <a:prstGeom prst="rect">
                      <a:avLst/>
                    </a:prstGeom>
                    <a:noFill/>
                    <a:ln w="9525">
                      <a:noFill/>
                      <a:headEnd/>
                      <a:tailEnd/>
                    </a:ln>
                  </pic:spPr>
                </pic:pic>
              </a:graphicData>
            </a:graphic>
          </wp:inline>
        </w:drawing>
      </w:r>
    </w:p>
    <w:p w14:paraId="27AE1F68" w14:textId="77777777" w:rsidR="00AF76C0" w:rsidRDefault="00AF76C0">
      <w:pPr>
        <w:pStyle w:val="BodyText"/>
      </w:pPr>
    </w:p>
    <w:p w14:paraId="5DF79FBD" w14:textId="77777777" w:rsidR="00AF76C0" w:rsidRDefault="00000000">
      <w:pPr>
        <w:pStyle w:val="BodyText"/>
      </w:pPr>
      <w:r>
        <w:t xml:space="preserve">In contrast to the other models, this one will not produce correct results with the settings in MetaBayesDTA left at their default values. This is due to the problems described in the handbook (section 10.8.2 </w:t>
      </w:r>
      <w:r>
        <w:rPr>
          <w:i/>
          <w:iCs/>
        </w:rPr>
        <w:t>Monitoring convergence</w:t>
      </w:r>
      <w:r>
        <w:t>). The handbook recommends choosing initial values closer to the solution and/or using more informative prior knowledge. A combination of these allows the results in the handbook to be reproduced. First, change the initial values of log sensitivity and log specificity to 1 and 3 respectively.</w:t>
      </w:r>
    </w:p>
    <w:p w14:paraId="7FB7F005" w14:textId="77777777" w:rsidR="00AF76C0" w:rsidRDefault="00AF76C0">
      <w:pPr>
        <w:pStyle w:val="BodyText"/>
      </w:pPr>
    </w:p>
    <w:p w14:paraId="4E7FF244" w14:textId="77777777" w:rsidR="00AF76C0" w:rsidRDefault="00000000">
      <w:pPr>
        <w:pStyle w:val="BodyText"/>
      </w:pPr>
      <w:r>
        <w:rPr>
          <w:noProof/>
        </w:rPr>
        <w:drawing>
          <wp:inline distT="0" distB="0" distL="0" distR="0" wp14:anchorId="69C4AA07" wp14:editId="38BBAF47">
            <wp:extent cx="3733800" cy="2507869"/>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7" name="Picture" descr="./Cochrane_DTA_10.8/Pictures/Analysis_3.png"/>
                    <pic:cNvPicPr>
                      <a:picLocks noChangeAspect="1" noChangeArrowheads="1"/>
                    </pic:cNvPicPr>
                  </pic:nvPicPr>
                  <pic:blipFill>
                    <a:blip r:embed="rId49"/>
                    <a:stretch>
                      <a:fillRect/>
                    </a:stretch>
                  </pic:blipFill>
                  <pic:spPr bwMode="auto">
                    <a:xfrm>
                      <a:off x="0" y="0"/>
                      <a:ext cx="3733800" cy="2507869"/>
                    </a:xfrm>
                    <a:prstGeom prst="rect">
                      <a:avLst/>
                    </a:prstGeom>
                    <a:noFill/>
                    <a:ln w="9525">
                      <a:noFill/>
                      <a:headEnd/>
                      <a:tailEnd/>
                    </a:ln>
                  </pic:spPr>
                </pic:pic>
              </a:graphicData>
            </a:graphic>
          </wp:inline>
        </w:drawing>
      </w:r>
    </w:p>
    <w:p w14:paraId="1D7DFDB0" w14:textId="77777777" w:rsidR="00AF76C0" w:rsidRDefault="00AF76C0">
      <w:pPr>
        <w:pStyle w:val="BodyText"/>
      </w:pPr>
    </w:p>
    <w:p w14:paraId="0579FA65" w14:textId="77777777" w:rsidR="00AF76C0" w:rsidRDefault="00000000">
      <w:pPr>
        <w:pStyle w:val="BodyText"/>
      </w:pPr>
      <w:r>
        <w:t>Then narrow the central 95% range of the prior distributions of sensitivity to the interval [0.5, 0.8] by selecting the drop-down menu</w:t>
      </w:r>
    </w:p>
    <w:p w14:paraId="3387A3AC" w14:textId="77777777" w:rsidR="00AF76C0" w:rsidRDefault="00AF76C0">
      <w:pPr>
        <w:pStyle w:val="BodyText"/>
      </w:pPr>
    </w:p>
    <w:p w14:paraId="759ED30D" w14:textId="77777777" w:rsidR="00AF76C0" w:rsidRDefault="00000000">
      <w:pPr>
        <w:pStyle w:val="BodyText"/>
      </w:pPr>
      <w:r>
        <w:rPr>
          <w:noProof/>
        </w:rPr>
        <w:drawing>
          <wp:inline distT="0" distB="0" distL="0" distR="0" wp14:anchorId="133FFD61" wp14:editId="18E829C3">
            <wp:extent cx="3733800" cy="2507869"/>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70" name="Picture" descr="./Cochrane_DTA_10.8/Pictures/Analysis_4.png"/>
                    <pic:cNvPicPr>
                      <a:picLocks noChangeAspect="1" noChangeArrowheads="1"/>
                    </pic:cNvPicPr>
                  </pic:nvPicPr>
                  <pic:blipFill>
                    <a:blip r:embed="rId50"/>
                    <a:stretch>
                      <a:fillRect/>
                    </a:stretch>
                  </pic:blipFill>
                  <pic:spPr bwMode="auto">
                    <a:xfrm>
                      <a:off x="0" y="0"/>
                      <a:ext cx="3733800" cy="2507869"/>
                    </a:xfrm>
                    <a:prstGeom prst="rect">
                      <a:avLst/>
                    </a:prstGeom>
                    <a:noFill/>
                    <a:ln w="9525">
                      <a:noFill/>
                      <a:headEnd/>
                      <a:tailEnd/>
                    </a:ln>
                  </pic:spPr>
                </pic:pic>
              </a:graphicData>
            </a:graphic>
          </wp:inline>
        </w:drawing>
      </w:r>
    </w:p>
    <w:p w14:paraId="69138432" w14:textId="77777777" w:rsidR="00AF76C0" w:rsidRDefault="00AF76C0">
      <w:pPr>
        <w:pStyle w:val="BodyText"/>
      </w:pPr>
    </w:p>
    <w:p w14:paraId="2CC3505A" w14:textId="77777777" w:rsidR="00AF76C0" w:rsidRDefault="00000000">
      <w:pPr>
        <w:pStyle w:val="BodyText"/>
      </w:pPr>
      <w:r>
        <w:t>and editing the range for the reference test</w:t>
      </w:r>
    </w:p>
    <w:p w14:paraId="5BEE4C88" w14:textId="77777777" w:rsidR="00AF76C0" w:rsidRDefault="00AF76C0">
      <w:pPr>
        <w:pStyle w:val="BodyText"/>
      </w:pPr>
    </w:p>
    <w:p w14:paraId="5FFAF451" w14:textId="77777777" w:rsidR="00AF76C0" w:rsidRDefault="00000000">
      <w:pPr>
        <w:pStyle w:val="BodyText"/>
      </w:pPr>
      <w:r>
        <w:rPr>
          <w:noProof/>
        </w:rPr>
        <w:lastRenderedPageBreak/>
        <w:drawing>
          <wp:inline distT="0" distB="0" distL="0" distR="0" wp14:anchorId="1D96E82C" wp14:editId="41559AA7">
            <wp:extent cx="4267200" cy="1964840"/>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173" name="Picture" descr="./Cochrane_DTA_10.8/Pictures/Analysis_5.png"/>
                    <pic:cNvPicPr>
                      <a:picLocks noChangeAspect="1" noChangeArrowheads="1"/>
                    </pic:cNvPicPr>
                  </pic:nvPicPr>
                  <pic:blipFill>
                    <a:blip r:embed="rId51"/>
                    <a:stretch>
                      <a:fillRect/>
                    </a:stretch>
                  </pic:blipFill>
                  <pic:spPr bwMode="auto">
                    <a:xfrm>
                      <a:off x="0" y="0"/>
                      <a:ext cx="4267200" cy="1964840"/>
                    </a:xfrm>
                    <a:prstGeom prst="rect">
                      <a:avLst/>
                    </a:prstGeom>
                    <a:noFill/>
                    <a:ln w="9525">
                      <a:noFill/>
                      <a:headEnd/>
                      <a:tailEnd/>
                    </a:ln>
                  </pic:spPr>
                </pic:pic>
              </a:graphicData>
            </a:graphic>
          </wp:inline>
        </w:drawing>
      </w:r>
    </w:p>
    <w:p w14:paraId="397BAB61" w14:textId="77777777" w:rsidR="00AF76C0" w:rsidRDefault="00AF76C0">
      <w:pPr>
        <w:pStyle w:val="BodyText"/>
      </w:pPr>
    </w:p>
    <w:p w14:paraId="586A8DEA" w14:textId="77777777" w:rsidR="00AF76C0" w:rsidRDefault="00000000">
      <w:pPr>
        <w:pStyle w:val="BodyText"/>
      </w:pPr>
      <w:r>
        <w:t>and the index test.</w:t>
      </w:r>
    </w:p>
    <w:p w14:paraId="0AD33682" w14:textId="77777777" w:rsidR="00AF76C0" w:rsidRDefault="00AF76C0">
      <w:pPr>
        <w:pStyle w:val="BodyText"/>
      </w:pPr>
    </w:p>
    <w:p w14:paraId="63DECD4D" w14:textId="77777777" w:rsidR="00AF76C0" w:rsidRDefault="00000000">
      <w:pPr>
        <w:pStyle w:val="BodyText"/>
      </w:pPr>
      <w:r>
        <w:rPr>
          <w:noProof/>
        </w:rPr>
        <w:drawing>
          <wp:inline distT="0" distB="0" distL="0" distR="0" wp14:anchorId="0C1ADB21" wp14:editId="7D552806">
            <wp:extent cx="4267200" cy="1721025"/>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6" name="Picture" descr="./Cochrane_DTA_10.8/Pictures/Analysis_6.png"/>
                    <pic:cNvPicPr>
                      <a:picLocks noChangeAspect="1" noChangeArrowheads="1"/>
                    </pic:cNvPicPr>
                  </pic:nvPicPr>
                  <pic:blipFill>
                    <a:blip r:embed="rId52"/>
                    <a:stretch>
                      <a:fillRect/>
                    </a:stretch>
                  </pic:blipFill>
                  <pic:spPr bwMode="auto">
                    <a:xfrm>
                      <a:off x="0" y="0"/>
                      <a:ext cx="4267200" cy="1721025"/>
                    </a:xfrm>
                    <a:prstGeom prst="rect">
                      <a:avLst/>
                    </a:prstGeom>
                    <a:noFill/>
                    <a:ln w="9525">
                      <a:noFill/>
                      <a:headEnd/>
                      <a:tailEnd/>
                    </a:ln>
                  </pic:spPr>
                </pic:pic>
              </a:graphicData>
            </a:graphic>
          </wp:inline>
        </w:drawing>
      </w:r>
    </w:p>
    <w:p w14:paraId="7576E606" w14:textId="77777777" w:rsidR="00AF76C0" w:rsidRDefault="00AF76C0">
      <w:pPr>
        <w:pStyle w:val="BodyText"/>
      </w:pPr>
    </w:p>
    <w:p w14:paraId="6D637953" w14:textId="77777777" w:rsidR="00AF76C0" w:rsidRDefault="00000000">
      <w:pPr>
        <w:pStyle w:val="BodyText"/>
      </w:pPr>
      <w:r>
        <w:t xml:space="preserve">When the model has run, the HSROC curve will be squashed because the specificity values are clustered close to 1. To improve the display, select </w:t>
      </w:r>
      <w:r>
        <w:rPr>
          <w:b/>
          <w:bCs/>
        </w:rPr>
        <w:t>set x and y axis limits to (0,1)</w:t>
      </w:r>
      <w:r>
        <w:t xml:space="preserve"> from the drop-down menu.</w:t>
      </w:r>
    </w:p>
    <w:p w14:paraId="1C325CD1" w14:textId="77777777" w:rsidR="00AF76C0" w:rsidRDefault="00AF76C0">
      <w:pPr>
        <w:pStyle w:val="BodyText"/>
      </w:pPr>
    </w:p>
    <w:p w14:paraId="531F748C" w14:textId="77777777" w:rsidR="00AF76C0" w:rsidRDefault="00000000">
      <w:pPr>
        <w:pStyle w:val="BodyText"/>
      </w:pPr>
      <w:r>
        <w:rPr>
          <w:noProof/>
        </w:rPr>
        <w:lastRenderedPageBreak/>
        <w:drawing>
          <wp:inline distT="0" distB="0" distL="0" distR="0" wp14:anchorId="46ED605F" wp14:editId="1B96EF76">
            <wp:extent cx="2133600" cy="3316291"/>
            <wp:effectExtent l="0" t="0" r="0" b="0"/>
            <wp:docPr id="178" name="Picture"/>
            <wp:cNvGraphicFramePr/>
            <a:graphic xmlns:a="http://schemas.openxmlformats.org/drawingml/2006/main">
              <a:graphicData uri="http://schemas.openxmlformats.org/drawingml/2006/picture">
                <pic:pic xmlns:pic="http://schemas.openxmlformats.org/drawingml/2006/picture">
                  <pic:nvPicPr>
                    <pic:cNvPr id="179" name="Picture" descr="./Cochrane_DTA_10.8/Pictures/HSROC_1.png"/>
                    <pic:cNvPicPr>
                      <a:picLocks noChangeAspect="1" noChangeArrowheads="1"/>
                    </pic:cNvPicPr>
                  </pic:nvPicPr>
                  <pic:blipFill>
                    <a:blip r:embed="rId53"/>
                    <a:stretch>
                      <a:fillRect/>
                    </a:stretch>
                  </pic:blipFill>
                  <pic:spPr bwMode="auto">
                    <a:xfrm>
                      <a:off x="0" y="0"/>
                      <a:ext cx="2133600" cy="3316291"/>
                    </a:xfrm>
                    <a:prstGeom prst="rect">
                      <a:avLst/>
                    </a:prstGeom>
                    <a:noFill/>
                    <a:ln w="9525">
                      <a:noFill/>
                      <a:headEnd/>
                      <a:tailEnd/>
                    </a:ln>
                  </pic:spPr>
                </pic:pic>
              </a:graphicData>
            </a:graphic>
          </wp:inline>
        </w:drawing>
      </w:r>
    </w:p>
    <w:p w14:paraId="78C708A8" w14:textId="77777777" w:rsidR="00AF76C0" w:rsidRDefault="00AF76C0">
      <w:pPr>
        <w:pStyle w:val="BodyText"/>
      </w:pPr>
    </w:p>
    <w:p w14:paraId="06A40128" w14:textId="77777777" w:rsidR="00AF76C0" w:rsidRDefault="00000000">
      <w:pPr>
        <w:pStyle w:val="BodyText"/>
      </w:pPr>
      <w:r>
        <w:rPr>
          <w:noProof/>
        </w:rPr>
        <w:drawing>
          <wp:inline distT="0" distB="0" distL="0" distR="0" wp14:anchorId="086D3845" wp14:editId="61145D98">
            <wp:extent cx="4267200" cy="3567354"/>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2" name="Picture" descr="./Cochrane_DTA_10.8/Pictures/HSROC_2.png"/>
                    <pic:cNvPicPr>
                      <a:picLocks noChangeAspect="1" noChangeArrowheads="1"/>
                    </pic:cNvPicPr>
                  </pic:nvPicPr>
                  <pic:blipFill>
                    <a:blip r:embed="rId54"/>
                    <a:stretch>
                      <a:fillRect/>
                    </a:stretch>
                  </pic:blipFill>
                  <pic:spPr bwMode="auto">
                    <a:xfrm>
                      <a:off x="0" y="0"/>
                      <a:ext cx="4267200" cy="3567354"/>
                    </a:xfrm>
                    <a:prstGeom prst="rect">
                      <a:avLst/>
                    </a:prstGeom>
                    <a:noFill/>
                    <a:ln w="9525">
                      <a:noFill/>
                      <a:headEnd/>
                      <a:tailEnd/>
                    </a:ln>
                  </pic:spPr>
                </pic:pic>
              </a:graphicData>
            </a:graphic>
          </wp:inline>
        </w:drawing>
      </w:r>
    </w:p>
    <w:p w14:paraId="5CCD1334" w14:textId="77777777" w:rsidR="00AF76C0" w:rsidRDefault="00AF76C0">
      <w:pPr>
        <w:pStyle w:val="BodyText"/>
      </w:pPr>
    </w:p>
    <w:p w14:paraId="42668A28" w14:textId="77777777" w:rsidR="00AF76C0" w:rsidRDefault="00000000">
      <w:pPr>
        <w:pStyle w:val="Heading2"/>
      </w:pPr>
      <w:bookmarkStart w:id="62" w:name="parameters-optional"/>
      <w:bookmarkStart w:id="63" w:name="_Toc153208240"/>
      <w:bookmarkEnd w:id="60"/>
      <w:r>
        <w:rPr>
          <w:rStyle w:val="SectionNumber"/>
        </w:rPr>
        <w:t>7.3</w:t>
      </w:r>
      <w:r>
        <w:tab/>
        <w:t>Parameters (optional)</w:t>
      </w:r>
      <w:bookmarkEnd w:id="63"/>
    </w:p>
    <w:p w14:paraId="72CEF952" w14:textId="77777777" w:rsidR="00AF76C0" w:rsidRDefault="00AF76C0">
      <w:pPr>
        <w:pStyle w:val="FirstParagraph"/>
      </w:pPr>
    </w:p>
    <w:p w14:paraId="093FA1FF" w14:textId="77777777" w:rsidR="00AF76C0" w:rsidRDefault="00000000">
      <w:pPr>
        <w:pStyle w:val="BodyText"/>
      </w:pPr>
      <w:r>
        <w:lastRenderedPageBreak/>
        <w:t>The parameter table can be found in section 10.8, page 76 of the handbook chapter 10.</w:t>
      </w:r>
    </w:p>
    <w:p w14:paraId="693679FE" w14:textId="77777777" w:rsidR="00AF76C0" w:rsidRDefault="00AF76C0">
      <w:pPr>
        <w:pStyle w:val="BodyText"/>
      </w:pPr>
    </w:p>
    <w:p w14:paraId="69F2F49D" w14:textId="77777777" w:rsidR="00AF76C0" w:rsidRDefault="00000000">
      <w:pPr>
        <w:pStyle w:val="BodyText"/>
      </w:pPr>
      <w:r>
        <w:rPr>
          <w:noProof/>
        </w:rPr>
        <w:drawing>
          <wp:inline distT="0" distB="0" distL="0" distR="0" wp14:anchorId="655788B4" wp14:editId="6A243E39">
            <wp:extent cx="3733800" cy="3932936"/>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6" name="Picture" descr="./Cochrane_DTA_10.8/Pictures/Cochrane_parameters.png"/>
                    <pic:cNvPicPr>
                      <a:picLocks noChangeAspect="1" noChangeArrowheads="1"/>
                    </pic:cNvPicPr>
                  </pic:nvPicPr>
                  <pic:blipFill>
                    <a:blip r:embed="rId55"/>
                    <a:stretch>
                      <a:fillRect/>
                    </a:stretch>
                  </pic:blipFill>
                  <pic:spPr bwMode="auto">
                    <a:xfrm>
                      <a:off x="0" y="0"/>
                      <a:ext cx="3733800" cy="3932936"/>
                    </a:xfrm>
                    <a:prstGeom prst="rect">
                      <a:avLst/>
                    </a:prstGeom>
                    <a:noFill/>
                    <a:ln w="9525">
                      <a:noFill/>
                      <a:headEnd/>
                      <a:tailEnd/>
                    </a:ln>
                  </pic:spPr>
                </pic:pic>
              </a:graphicData>
            </a:graphic>
          </wp:inline>
        </w:drawing>
      </w:r>
    </w:p>
    <w:p w14:paraId="289F2818" w14:textId="77777777" w:rsidR="00AF76C0" w:rsidRDefault="00AF76C0">
      <w:pPr>
        <w:pStyle w:val="BodyText"/>
      </w:pPr>
    </w:p>
    <w:p w14:paraId="7CD1DA43" w14:textId="77777777" w:rsidR="00AF76C0" w:rsidRDefault="00000000">
      <w:pPr>
        <w:pStyle w:val="BodyText"/>
      </w:pPr>
      <w:r>
        <w:rPr>
          <w:noProof/>
        </w:rPr>
        <w:lastRenderedPageBreak/>
        <w:drawing>
          <wp:inline distT="0" distB="0" distL="0" distR="0" wp14:anchorId="0B7412F0" wp14:editId="7F0728D2">
            <wp:extent cx="4800600" cy="3982469"/>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9" name="Picture" descr="./Cochrane_DTA_10.8/Pictures/Parameters_1.png"/>
                    <pic:cNvPicPr>
                      <a:picLocks noChangeAspect="1" noChangeArrowheads="1"/>
                    </pic:cNvPicPr>
                  </pic:nvPicPr>
                  <pic:blipFill>
                    <a:blip r:embed="rId56"/>
                    <a:stretch>
                      <a:fillRect/>
                    </a:stretch>
                  </pic:blipFill>
                  <pic:spPr bwMode="auto">
                    <a:xfrm>
                      <a:off x="0" y="0"/>
                      <a:ext cx="4800600" cy="3982469"/>
                    </a:xfrm>
                    <a:prstGeom prst="rect">
                      <a:avLst/>
                    </a:prstGeom>
                    <a:noFill/>
                    <a:ln w="9525">
                      <a:noFill/>
                      <a:headEnd/>
                      <a:tailEnd/>
                    </a:ln>
                  </pic:spPr>
                </pic:pic>
              </a:graphicData>
            </a:graphic>
          </wp:inline>
        </w:drawing>
      </w:r>
    </w:p>
    <w:p w14:paraId="19AF295D" w14:textId="77777777" w:rsidR="00AF76C0" w:rsidRDefault="00AF76C0">
      <w:pPr>
        <w:pStyle w:val="BodyText"/>
      </w:pPr>
    </w:p>
    <w:p w14:paraId="6FD29359" w14:textId="77777777" w:rsidR="00AF76C0" w:rsidRDefault="00000000">
      <w:pPr>
        <w:pStyle w:val="BodyText"/>
      </w:pPr>
      <w:r>
        <w:rPr>
          <w:noProof/>
        </w:rPr>
        <w:drawing>
          <wp:inline distT="0" distB="0" distL="0" distR="0" wp14:anchorId="50B603DD" wp14:editId="71BF0D9F">
            <wp:extent cx="4800600" cy="2774789"/>
            <wp:effectExtent l="0" t="0" r="0" b="0"/>
            <wp:docPr id="191" name="Picture"/>
            <wp:cNvGraphicFramePr/>
            <a:graphic xmlns:a="http://schemas.openxmlformats.org/drawingml/2006/main">
              <a:graphicData uri="http://schemas.openxmlformats.org/drawingml/2006/picture">
                <pic:pic xmlns:pic="http://schemas.openxmlformats.org/drawingml/2006/picture">
                  <pic:nvPicPr>
                    <pic:cNvPr id="192" name="Picture" descr="./Cochrane_DTA_10.8/Pictures/Parameters_2.png"/>
                    <pic:cNvPicPr>
                      <a:picLocks noChangeAspect="1" noChangeArrowheads="1"/>
                    </pic:cNvPicPr>
                  </pic:nvPicPr>
                  <pic:blipFill>
                    <a:blip r:embed="rId57"/>
                    <a:stretch>
                      <a:fillRect/>
                    </a:stretch>
                  </pic:blipFill>
                  <pic:spPr bwMode="auto">
                    <a:xfrm>
                      <a:off x="0" y="0"/>
                      <a:ext cx="4800600" cy="2774789"/>
                    </a:xfrm>
                    <a:prstGeom prst="rect">
                      <a:avLst/>
                    </a:prstGeom>
                    <a:noFill/>
                    <a:ln w="9525">
                      <a:noFill/>
                      <a:headEnd/>
                      <a:tailEnd/>
                    </a:ln>
                  </pic:spPr>
                </pic:pic>
              </a:graphicData>
            </a:graphic>
          </wp:inline>
        </w:drawing>
      </w:r>
    </w:p>
    <w:p w14:paraId="7C6BB0DE" w14:textId="77777777" w:rsidR="00AF76C0" w:rsidRDefault="00AF76C0">
      <w:pPr>
        <w:pStyle w:val="BodyText"/>
      </w:pPr>
    </w:p>
    <w:p w14:paraId="4A6D384C" w14:textId="77777777" w:rsidR="00AF76C0" w:rsidRDefault="00000000">
      <w:pPr>
        <w:pStyle w:val="Heading1"/>
      </w:pPr>
      <w:bookmarkStart w:id="64" w:name="appendix"/>
      <w:bookmarkStart w:id="65" w:name="_Toc153208241"/>
      <w:bookmarkEnd w:id="56"/>
      <w:bookmarkEnd w:id="62"/>
      <w:r>
        <w:rPr>
          <w:rStyle w:val="SectionNumber"/>
        </w:rPr>
        <w:lastRenderedPageBreak/>
        <w:t>8</w:t>
      </w:r>
      <w:r>
        <w:tab/>
        <w:t>Appendix</w:t>
      </w:r>
      <w:bookmarkEnd w:id="65"/>
    </w:p>
    <w:p w14:paraId="5B159AFE" w14:textId="77777777" w:rsidR="00AF76C0" w:rsidRDefault="00000000">
      <w:pPr>
        <w:pStyle w:val="FirstParagraph"/>
      </w:pPr>
      <w:r>
        <w:t>Not all of the output given in the Cochrane handbook is provided by MetaBayesDTA. In most cases, however, the missing parameter estimates can be estimated from MetaBayesDTA output. The derivation of these estimates is described below.</w:t>
      </w:r>
    </w:p>
    <w:p w14:paraId="66E7E4E1" w14:textId="77777777" w:rsidR="00AF76C0" w:rsidRDefault="00AF76C0">
      <w:pPr>
        <w:pStyle w:val="BodyText"/>
      </w:pPr>
    </w:p>
    <w:p w14:paraId="69446713" w14:textId="77777777" w:rsidR="00AF76C0" w:rsidRDefault="00000000">
      <w:pPr>
        <w:pStyle w:val="Heading2"/>
      </w:pPr>
      <w:bookmarkStart w:id="66" w:name="means"/>
      <w:bookmarkStart w:id="67" w:name="_Toc153208242"/>
      <w:r>
        <w:rPr>
          <w:rStyle w:val="SectionNumber"/>
        </w:rPr>
        <w:t>8.1</w:t>
      </w:r>
      <w:r>
        <w:tab/>
        <w:t>Means</w:t>
      </w:r>
      <w:bookmarkEnd w:id="67"/>
    </w:p>
    <w:p w14:paraId="00332DDB" w14:textId="77777777" w:rsidR="00AF76C0" w:rsidRDefault="00000000">
      <w:pPr>
        <w:pStyle w:val="FirstParagraph"/>
      </w:pPr>
      <w:r>
        <w:t xml:space="preserve">This sections refers to </w:t>
      </w:r>
      <m:oMath>
        <m:sSub>
          <m:sSubPr>
            <m:ctrlPr>
              <w:rPr>
                <w:rFonts w:ascii="Cambria Math" w:hAnsi="Cambria Math"/>
              </w:rPr>
            </m:ctrlPr>
          </m:sSubPr>
          <m:e>
            <m:r>
              <w:rPr>
                <w:rFonts w:ascii="Cambria Math" w:hAnsi="Cambria Math"/>
              </w:rPr>
              <m:t>μ</m:t>
            </m:r>
          </m:e>
          <m:sub>
            <m:r>
              <w:rPr>
                <w:rFonts w:ascii="Cambria Math" w:hAnsi="Cambria Math"/>
              </w:rPr>
              <m:t>A</m:t>
            </m:r>
          </m:sub>
        </m:sSub>
      </m:oMath>
      <w:r>
        <w:t xml:space="preserve"> and </w:t>
      </w:r>
      <m:oMath>
        <m:sSub>
          <m:sSubPr>
            <m:ctrlPr>
              <w:rPr>
                <w:rFonts w:ascii="Cambria Math" w:hAnsi="Cambria Math"/>
              </w:rPr>
            </m:ctrlPr>
          </m:sSubPr>
          <m:e>
            <m:r>
              <w:rPr>
                <w:rFonts w:ascii="Cambria Math" w:hAnsi="Cambria Math"/>
              </w:rPr>
              <m:t>μ</m:t>
            </m:r>
          </m:e>
          <m:sub>
            <m:r>
              <w:rPr>
                <w:rFonts w:ascii="Cambria Math" w:hAnsi="Cambria Math"/>
              </w:rPr>
              <m:t>B</m:t>
            </m:r>
          </m:sub>
        </m:sSub>
      </m:oMath>
      <w:r>
        <w:t xml:space="preserve"> in the bivariate model, and </w:t>
      </w:r>
      <m:oMath>
        <m:r>
          <w:rPr>
            <w:rFonts w:ascii="Cambria Math" w:hAnsi="Cambria Math"/>
          </w:rPr>
          <m:t>Λ</m:t>
        </m:r>
      </m:oMath>
      <w:r>
        <w:t xml:space="preserve"> and </w:t>
      </w:r>
      <m:oMath>
        <m:r>
          <w:rPr>
            <w:rFonts w:ascii="Cambria Math" w:hAnsi="Cambria Math"/>
          </w:rPr>
          <m:t>Θ</m:t>
        </m:r>
      </m:oMath>
      <w:r>
        <w:t xml:space="preserve"> in the HSROC model.</w:t>
      </w:r>
    </w:p>
    <w:p w14:paraId="4672D7E4" w14:textId="77777777" w:rsidR="00AF76C0" w:rsidRDefault="00000000">
      <w:pPr>
        <w:pStyle w:val="BodyText"/>
      </w:pPr>
      <w:r>
        <w:t xml:space="preserve">Assuming the parameter </w:t>
      </w:r>
      <m:oMath>
        <m:r>
          <w:rPr>
            <w:rFonts w:ascii="Cambria Math" w:hAnsi="Cambria Math"/>
          </w:rPr>
          <m:t>μ</m:t>
        </m:r>
      </m:oMath>
      <w:r>
        <w:t xml:space="preserve"> is the mean of a Normal distribution </w:t>
      </w:r>
      <m:oMath>
        <m:r>
          <w:rPr>
            <w:rFonts w:ascii="Cambria Math" w:hAnsi="Cambria Math"/>
          </w:rPr>
          <m:t>N</m:t>
        </m:r>
        <m:d>
          <m:dPr>
            <m:ctrlPr>
              <w:rPr>
                <w:rFonts w:ascii="Cambria Math" w:hAnsi="Cambria Math"/>
              </w:rPr>
            </m:ctrlPr>
          </m:dPr>
          <m:e>
            <m:r>
              <w:rPr>
                <w:rFonts w:ascii="Cambria Math" w:hAnsi="Cambria Math"/>
              </w:rPr>
              <m:t>μ</m:t>
            </m:r>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e>
        </m:d>
      </m:oMath>
      <w:r>
        <w:t xml:space="preserve"> and has been estimated from </w:t>
      </w:r>
      <m:oMath>
        <m:r>
          <w:rPr>
            <w:rFonts w:ascii="Cambria Math" w:hAnsi="Cambria Math"/>
          </w:rPr>
          <m:t>n</m:t>
        </m:r>
      </m:oMath>
      <w:r>
        <w:t xml:space="preserve"> trials, the standard deviation of </w:t>
      </w:r>
      <m:oMath>
        <m:r>
          <w:rPr>
            <w:rFonts w:ascii="Cambria Math" w:hAnsi="Cambria Math"/>
          </w:rPr>
          <m:t>μ</m:t>
        </m:r>
      </m:oMath>
      <w:r>
        <w:t xml:space="preserve"> can be estimated by</w:t>
      </w:r>
    </w:p>
    <w:p w14:paraId="3ED11B8C"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μ</m:t>
              </m:r>
            </m:e>
          </m:d>
          <m:r>
            <m:rPr>
              <m:sty m:val="p"/>
            </m:rPr>
            <w:rPr>
              <w:rFonts w:ascii="Cambria Math" w:hAnsi="Cambria Math"/>
            </w:rPr>
            <m:t>=</m:t>
          </m:r>
          <m:r>
            <w:rPr>
              <w:rFonts w:ascii="Cambria Math" w:hAnsi="Cambria Math"/>
            </w:rPr>
            <m:t>σ</m:t>
          </m:r>
          <m:r>
            <m:rPr>
              <m:sty m:val="p"/>
            </m:rPr>
            <w:rPr>
              <w:rFonts w:ascii="Cambria Math" w:hAnsi="Cambria Math"/>
            </w:rPr>
            <m:t>/</m:t>
          </m:r>
          <m:rad>
            <m:radPr>
              <m:degHide m:val="1"/>
              <m:ctrlPr>
                <w:rPr>
                  <w:rFonts w:ascii="Cambria Math" w:hAnsi="Cambria Math"/>
                </w:rPr>
              </m:ctrlPr>
            </m:radPr>
            <m:deg/>
            <m:e>
              <m:r>
                <w:rPr>
                  <w:rFonts w:ascii="Cambria Math" w:hAnsi="Cambria Math"/>
                </w:rPr>
                <m:t>n</m:t>
              </m:r>
            </m:e>
          </m:rad>
          <m:r>
            <m:rPr>
              <m:sty m:val="p"/>
            </m:rPr>
            <w:rPr>
              <w:rFonts w:ascii="Cambria Math" w:hAnsi="Cambria Math"/>
            </w:rPr>
            <m:t>.</m:t>
          </m:r>
        </m:oMath>
      </m:oMathPara>
    </w:p>
    <w:p w14:paraId="771AAA4A" w14:textId="77777777" w:rsidR="00AF76C0" w:rsidRDefault="00AF76C0">
      <w:pPr>
        <w:pStyle w:val="FirstParagraph"/>
      </w:pPr>
    </w:p>
    <w:p w14:paraId="5503D051" w14:textId="77777777" w:rsidR="00AF76C0" w:rsidRDefault="00000000">
      <w:pPr>
        <w:pStyle w:val="Heading2"/>
      </w:pPr>
      <w:bookmarkStart w:id="68" w:name="variances"/>
      <w:bookmarkStart w:id="69" w:name="_Toc153208243"/>
      <w:bookmarkEnd w:id="66"/>
      <w:r>
        <w:rPr>
          <w:rStyle w:val="SectionNumber"/>
        </w:rPr>
        <w:t>8.2</w:t>
      </w:r>
      <w:r>
        <w:tab/>
        <w:t>Variances</w:t>
      </w:r>
      <w:bookmarkEnd w:id="69"/>
    </w:p>
    <w:p w14:paraId="0E5BA1CC" w14:textId="77777777" w:rsidR="00AF76C0" w:rsidRDefault="00000000">
      <w:pPr>
        <w:pStyle w:val="FirstParagraph"/>
      </w:pPr>
      <w:r>
        <w:t xml:space="preserve">This sections refers to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t xml:space="preserve"> and </w:t>
      </w:r>
      <m:oMath>
        <m:sSubSup>
          <m:sSubSupPr>
            <m:ctrlPr>
              <w:rPr>
                <w:rFonts w:ascii="Cambria Math" w:hAnsi="Cambria Math"/>
              </w:rPr>
            </m:ctrlPr>
          </m:sSubSupPr>
          <m:e>
            <m:r>
              <w:rPr>
                <w:rFonts w:ascii="Cambria Math" w:hAnsi="Cambria Math"/>
              </w:rPr>
              <m:t>σ</m:t>
            </m:r>
          </m:e>
          <m:sub>
            <m:r>
              <w:rPr>
                <w:rFonts w:ascii="Cambria Math" w:hAnsi="Cambria Math"/>
              </w:rPr>
              <m:t>B</m:t>
            </m:r>
          </m:sub>
          <m:sup>
            <m:r>
              <w:rPr>
                <w:rFonts w:ascii="Cambria Math" w:hAnsi="Cambria Math"/>
              </w:rPr>
              <m:t>2</m:t>
            </m:r>
          </m:sup>
        </m:sSubSup>
      </m:oMath>
      <w:r>
        <w:t xml:space="preserve"> in the bivariate model, and </w:t>
      </w:r>
      <m:oMath>
        <m:sSubSup>
          <m:sSubSupPr>
            <m:ctrlPr>
              <w:rPr>
                <w:rFonts w:ascii="Cambria Math" w:hAnsi="Cambria Math"/>
              </w:rPr>
            </m:ctrlPr>
          </m:sSubSupPr>
          <m:e>
            <m:r>
              <w:rPr>
                <w:rFonts w:ascii="Cambria Math" w:hAnsi="Cambria Math"/>
              </w:rPr>
              <m:t>σ</m:t>
            </m:r>
          </m:e>
          <m:sub>
            <m:r>
              <w:rPr>
                <w:rFonts w:ascii="Cambria Math" w:hAnsi="Cambria Math"/>
              </w:rPr>
              <m:t>α</m:t>
            </m:r>
          </m:sub>
          <m:sup>
            <m:r>
              <w:rPr>
                <w:rFonts w:ascii="Cambria Math" w:hAnsi="Cambria Math"/>
              </w:rPr>
              <m:t>2</m:t>
            </m:r>
          </m:sup>
        </m:sSubSup>
      </m:oMath>
      <w:r>
        <w:t xml:space="preserve"> and </w:t>
      </w:r>
      <m:oMath>
        <m:sSubSup>
          <m:sSubSupPr>
            <m:ctrlPr>
              <w:rPr>
                <w:rFonts w:ascii="Cambria Math" w:hAnsi="Cambria Math"/>
              </w:rPr>
            </m:ctrlPr>
          </m:sSubSupPr>
          <m:e>
            <m:r>
              <w:rPr>
                <w:rFonts w:ascii="Cambria Math" w:hAnsi="Cambria Math"/>
              </w:rPr>
              <m:t>σ</m:t>
            </m:r>
          </m:e>
          <m:sub>
            <m:r>
              <w:rPr>
                <w:rFonts w:ascii="Cambria Math" w:hAnsi="Cambria Math"/>
              </w:rPr>
              <m:t>θ</m:t>
            </m:r>
          </m:sub>
          <m:sup>
            <m:r>
              <w:rPr>
                <w:rFonts w:ascii="Cambria Math" w:hAnsi="Cambria Math"/>
              </w:rPr>
              <m:t>2</m:t>
            </m:r>
          </m:sup>
        </m:sSubSup>
      </m:oMath>
      <w:r>
        <w:t xml:space="preserve"> in the HSROC model.</w:t>
      </w:r>
    </w:p>
    <w:p w14:paraId="6C5AD7F0" w14:textId="77777777" w:rsidR="00AF76C0" w:rsidRDefault="00000000">
      <w:pPr>
        <w:pStyle w:val="BodyText"/>
      </w:pPr>
      <w:r>
        <w:t xml:space="preserve">Assuming the parameter </w:t>
      </w:r>
      <m:oMath>
        <m:sSup>
          <m:sSupPr>
            <m:ctrlPr>
              <w:rPr>
                <w:rFonts w:ascii="Cambria Math" w:hAnsi="Cambria Math"/>
              </w:rPr>
            </m:ctrlPr>
          </m:sSupPr>
          <m:e>
            <m:r>
              <w:rPr>
                <w:rFonts w:ascii="Cambria Math" w:hAnsi="Cambria Math"/>
              </w:rPr>
              <m:t>σ</m:t>
            </m:r>
          </m:e>
          <m:sup>
            <m:r>
              <w:rPr>
                <w:rFonts w:ascii="Cambria Math" w:hAnsi="Cambria Math"/>
              </w:rPr>
              <m:t>2</m:t>
            </m:r>
          </m:sup>
        </m:sSup>
      </m:oMath>
      <w:r>
        <w:t xml:space="preserve"> has distribution satisfying</w:t>
      </w:r>
    </w:p>
    <w:p w14:paraId="741B014E" w14:textId="77777777" w:rsidR="00AF76C0" w:rsidRDefault="00000000">
      <w:pPr>
        <w:pStyle w:val="BodyText"/>
      </w:pPr>
      <m:oMathPara>
        <m:oMathParaPr>
          <m:jc m:val="center"/>
        </m:oMathParaPr>
        <m:oMath>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2</m:t>
              </m:r>
            </m:sup>
          </m:sSubSup>
        </m:oMath>
      </m:oMathPara>
    </w:p>
    <w:p w14:paraId="4B0DF590" w14:textId="77777777" w:rsidR="00AF76C0" w:rsidRDefault="00000000">
      <w:pPr>
        <w:pStyle w:val="FirstParagraph"/>
      </w:pPr>
      <w:r>
        <w:t xml:space="preserve">where </w:t>
      </w:r>
      <m:oMath>
        <m:r>
          <w:rPr>
            <w:rFonts w:ascii="Cambria Math" w:hAnsi="Cambria Math"/>
          </w:rPr>
          <m:t>E</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oMath>
      <w:r>
        <w:t xml:space="preserve"> and </w:t>
      </w:r>
      <m:oMath>
        <m:r>
          <w:rPr>
            <w:rFonts w:ascii="Cambria Math" w:hAnsi="Cambria Math"/>
          </w:rPr>
          <m:t>n</m:t>
        </m:r>
      </m:oMath>
      <w:r>
        <w:t xml:space="preserve"> is the number of trials, its standard deviation can be estimated as</w:t>
      </w:r>
    </w:p>
    <w:p w14:paraId="71926243"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e>
          </m:d>
          <m:r>
            <m:rPr>
              <m:sty m:val="p"/>
            </m:rPr>
            <w:rPr>
              <w:rFonts w:ascii="Cambria Math" w:hAnsi="Cambria Math"/>
            </w:rPr>
            <m:t>=</m:t>
          </m:r>
          <m:r>
            <w:rPr>
              <w:rFonts w:ascii="Cambria Math" w:hAnsi="Cambria Math"/>
            </w:rPr>
            <m:t>U</m:t>
          </m:r>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sup>
              <m:r>
                <w:rPr>
                  <w:rFonts w:ascii="Cambria Math" w:hAnsi="Cambria Math"/>
                </w:rPr>
                <m:t>2</m:t>
              </m:r>
            </m:sup>
          </m:sSup>
        </m:oMath>
      </m:oMathPara>
    </w:p>
    <w:p w14:paraId="17D09316" w14:textId="77777777" w:rsidR="00AF76C0" w:rsidRDefault="00000000">
      <w:pPr>
        <w:pStyle w:val="FirstParagraph"/>
      </w:pPr>
      <w:r>
        <w:t xml:space="preserve">where </w:t>
      </w:r>
      <m:oMath>
        <m:r>
          <w:rPr>
            <w:rFonts w:ascii="Cambria Math" w:hAnsi="Cambria Math"/>
          </w:rPr>
          <m:t>U</m:t>
        </m:r>
      </m:oMath>
      <w:r>
        <w:t xml:space="preserve"> is the upper limit of the posterior interval and </w:t>
      </w:r>
      <m:oMath>
        <m:r>
          <w:rPr>
            <w:rFonts w:ascii="Cambria Math" w:hAnsi="Cambria Math"/>
          </w:rPr>
          <m:t>n</m:t>
        </m:r>
      </m:oMath>
      <w:r>
        <w:t xml:space="preserve"> is the number of trials. Using the lower limit of the posterior interval </w:t>
      </w:r>
      <m:oMath>
        <m:r>
          <w:rPr>
            <w:rFonts w:ascii="Cambria Math" w:hAnsi="Cambria Math"/>
          </w:rPr>
          <m:t>L</m:t>
        </m:r>
      </m:oMath>
      <w:r>
        <w:t>, the corresponding estimate is</w:t>
      </w:r>
    </w:p>
    <w:p w14:paraId="37A7784D"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e>
          </m:d>
          <m:r>
            <m:rPr>
              <m:sty m:val="p"/>
            </m:rPr>
            <w:rPr>
              <w:rFonts w:ascii="Cambria Math" w:hAnsi="Cambria Math"/>
            </w:rPr>
            <m:t>=</m:t>
          </m:r>
          <m:r>
            <w:rPr>
              <w:rFonts w:ascii="Cambria Math" w:hAnsi="Cambria Math"/>
            </w:rPr>
            <m:t>L</m:t>
          </m:r>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0.975</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sup>
              <m:r>
                <w:rPr>
                  <w:rFonts w:ascii="Cambria Math" w:hAnsi="Cambria Math"/>
                </w:rPr>
                <m:t>2</m:t>
              </m:r>
            </m:sup>
          </m:sSup>
        </m:oMath>
      </m:oMathPara>
    </w:p>
    <w:p w14:paraId="2EBEFC7D" w14:textId="77777777" w:rsidR="00AF76C0" w:rsidRDefault="00000000">
      <w:pPr>
        <w:pStyle w:val="FirstParagraph"/>
      </w:pPr>
      <w:r>
        <w:t xml:space="preserve">These formulare are derived as follows. With the distributional assumption above, a 95% confidence interval for </w:t>
      </w:r>
      <m:oMath>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oMath>
      <w:r>
        <w:t xml:space="preserve"> is</w:t>
      </w:r>
    </w:p>
    <w:p w14:paraId="6FE90B11" w14:textId="77777777" w:rsidR="00AF76C0" w:rsidRDefault="00000000">
      <w:pPr>
        <w:pStyle w:val="BodyText"/>
      </w:pPr>
      <m:oMathPara>
        <m:oMathParaPr>
          <m:jc m:val="center"/>
        </m:oMathParaPr>
        <m:oMath>
          <m:d>
            <m:dPr>
              <m:ctrlPr>
                <w:rPr>
                  <w:rFonts w:ascii="Cambria Math" w:hAnsi="Cambria Math"/>
                </w:rPr>
              </m:ctrlPr>
            </m:dPr>
            <m:e>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0.975</m:t>
                  </m:r>
                </m:sub>
                <m:sup>
                  <m:r>
                    <w:rPr>
                      <w:rFonts w:ascii="Cambria Math" w:hAnsi="Cambria Math"/>
                    </w:rPr>
                    <m:t>2</m:t>
                  </m:r>
                </m:sup>
              </m:sSubSup>
            </m:e>
          </m:d>
          <m:r>
            <m:rPr>
              <m:sty m:val="p"/>
            </m:rPr>
            <w:rPr>
              <w:rFonts w:ascii="Cambria Math" w:hAnsi="Cambria Math"/>
            </w:rPr>
            <m:t>.</m:t>
          </m:r>
        </m:oMath>
      </m:oMathPara>
    </w:p>
    <w:p w14:paraId="5A5A8C33" w14:textId="77777777" w:rsidR="00AF76C0" w:rsidRDefault="00000000">
      <w:pPr>
        <w:pStyle w:val="FirstParagraph"/>
      </w:pPr>
      <w:r>
        <w:t xml:space="preserve">Dividing by </w:t>
      </w:r>
      <m:oMath>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oMath>
      <w:r>
        <w:t xml:space="preserve"> yields a 95% confidence interval for </w:t>
      </w:r>
      <m:oMath>
        <m:r>
          <w:rPr>
            <w:rFonts w:ascii="Cambria Math" w:hAnsi="Cambria Math"/>
          </w:rPr>
          <m:t>1</m:t>
        </m:r>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oMath>
      <w:r>
        <w:t xml:space="preserve"> of</w:t>
      </w:r>
    </w:p>
    <w:p w14:paraId="5EC1787C" w14:textId="77777777" w:rsidR="00AF76C0" w:rsidRDefault="00000000">
      <w:pPr>
        <w:pStyle w:val="BodyText"/>
      </w:pPr>
      <m:oMathPara>
        <m:oMathParaPr>
          <m:jc m:val="center"/>
        </m:oMathParaPr>
        <m:oMath>
          <m:d>
            <m:dPr>
              <m:ctrlPr>
                <w:rPr>
                  <w:rFonts w:ascii="Cambria Math" w:hAnsi="Cambria Math"/>
                </w:rPr>
              </m:ctrlPr>
            </m:dPr>
            <m:e>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d>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0.975</m:t>
                  </m:r>
                </m:sub>
                <m:sup>
                  <m:r>
                    <w:rPr>
                      <w:rFonts w:ascii="Cambria Math" w:hAnsi="Cambria Math"/>
                    </w:rPr>
                    <m:t>2</m:t>
                  </m:r>
                </m:sup>
              </m:sSub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d>
            </m:e>
          </m:d>
          <m:r>
            <m:rPr>
              <m:sty m:val="p"/>
            </m:rPr>
            <w:rPr>
              <w:rFonts w:ascii="Cambria Math" w:hAnsi="Cambria Math"/>
            </w:rPr>
            <m:t>,</m:t>
          </m:r>
        </m:oMath>
      </m:oMathPara>
    </w:p>
    <w:p w14:paraId="3F3825D5" w14:textId="77777777" w:rsidR="00AF76C0" w:rsidRDefault="00000000">
      <w:pPr>
        <w:pStyle w:val="FirstParagraph"/>
      </w:pPr>
      <w:r>
        <w:t xml:space="preserve">and taking reciprocals gives a 95% confidence interval for </w:t>
      </w:r>
      <m:oMath>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oMath>
      <w:r>
        <w:t xml:space="preserve"> of</w:t>
      </w:r>
    </w:p>
    <w:p w14:paraId="68102EB9" w14:textId="77777777" w:rsidR="00AF76C0" w:rsidRDefault="00000000">
      <w:pPr>
        <w:pStyle w:val="BodyText"/>
      </w:pPr>
      <m:oMathPara>
        <m:oMathParaPr>
          <m:jc m:val="center"/>
        </m:oMathParaPr>
        <m:oMath>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0.975</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e>
          </m:d>
          <m:r>
            <m:rPr>
              <m:sty m:val="p"/>
            </m:rPr>
            <w:rPr>
              <w:rFonts w:ascii="Cambria Math" w:hAnsi="Cambria Math"/>
            </w:rPr>
            <m:t>,</m:t>
          </m:r>
        </m:oMath>
      </m:oMathPara>
    </w:p>
    <w:p w14:paraId="4FDD60F3" w14:textId="77777777" w:rsidR="00AF76C0" w:rsidRDefault="00000000">
      <w:pPr>
        <w:pStyle w:val="FirstParagraph"/>
      </w:pPr>
      <w:r>
        <w:t>taking care to switch the lower and upper limits.</w:t>
      </w:r>
    </w:p>
    <w:p w14:paraId="7ADD19C6" w14:textId="77777777" w:rsidR="00AF76C0" w:rsidRDefault="00000000">
      <w:pPr>
        <w:pStyle w:val="BodyText"/>
      </w:pPr>
      <w:r>
        <w:lastRenderedPageBreak/>
        <w:t xml:space="preserve">Next, given </w:t>
      </w:r>
      <m:oMath>
        <m:sSup>
          <m:sSupPr>
            <m:ctrlPr>
              <w:rPr>
                <w:rFonts w:ascii="Cambria Math" w:hAnsi="Cambria Math"/>
              </w:rPr>
            </m:ctrlPr>
          </m:sSupPr>
          <m:e>
            <m:r>
              <w:rPr>
                <w:rFonts w:ascii="Cambria Math" w:hAnsi="Cambria Math"/>
              </w:rPr>
              <m:t>σ</m:t>
            </m:r>
          </m:e>
          <m:sup>
            <m: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2</m:t>
            </m:r>
          </m:sup>
        </m:sSubSup>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oMath>
      <w:r>
        <w:t xml:space="preserve"> we have</w:t>
      </w:r>
    </w:p>
    <w:p w14:paraId="0F32B66C" w14:textId="77777777" w:rsidR="00AF76C0" w:rsidRDefault="00000000">
      <w:pPr>
        <w:pStyle w:val="BodyText"/>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SD</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e>
                </m:d>
              </m:e>
              <m:e>
                <m:r>
                  <m:rPr>
                    <m:sty m:val="p"/>
                  </m:rPr>
                  <w:rPr>
                    <w:rFonts w:ascii="Cambria Math" w:hAnsi="Cambria Math"/>
                  </w:rPr>
                  <m:t>=</m:t>
                </m:r>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2</m:t>
                        </m:r>
                      </m:sup>
                    </m:sSubSup>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d>
              </m:e>
            </m:mr>
            <m:mr>
              <m:e/>
              <m:e>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r>
                  <w:rPr>
                    <w:rFonts w:ascii="Cambria Math" w:hAnsi="Cambria Math"/>
                  </w:rPr>
                  <m:t>SD</m:t>
                </m:r>
                <m:d>
                  <m:dPr>
                    <m:ctrlPr>
                      <w:rPr>
                        <w:rFonts w:ascii="Cambria Math" w:hAnsi="Cambria Math"/>
                      </w:rPr>
                    </m:ctrlPr>
                  </m:dPr>
                  <m:e>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2</m:t>
                        </m:r>
                      </m:sup>
                    </m:sSubSup>
                  </m:e>
                </m:d>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mr>
            <m:mr>
              <m:e/>
              <m:e>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mr>
          </m:m>
        </m:oMath>
      </m:oMathPara>
    </w:p>
    <w:p w14:paraId="278CF985" w14:textId="77777777" w:rsidR="00AF76C0" w:rsidRDefault="00000000">
      <w:pPr>
        <w:pStyle w:val="FirstParagraph"/>
      </w:pPr>
      <w:r>
        <w:t xml:space="preserve">since </w:t>
      </w:r>
      <m:oMath>
        <m:r>
          <w:rPr>
            <w:rFonts w:ascii="Cambria Math" w:hAnsi="Cambria Math"/>
          </w:rPr>
          <m:t>Var</m:t>
        </m:r>
        <m:d>
          <m:dPr>
            <m:ctrlPr>
              <w:rPr>
                <w:rFonts w:ascii="Cambria Math" w:hAnsi="Cambria Math"/>
              </w:rPr>
            </m:ctrlPr>
          </m:dPr>
          <m:e>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sub>
              <m:sup>
                <m:r>
                  <w:rPr>
                    <w:rFonts w:ascii="Cambria Math" w:hAnsi="Cambria Math"/>
                  </w:rPr>
                  <m:t>2</m:t>
                </m:r>
              </m:sup>
            </m:sSubSup>
          </m:e>
        </m:d>
        <m:r>
          <m:rPr>
            <m:sty m:val="p"/>
          </m:rPr>
          <w:rPr>
            <w:rFonts w:ascii="Cambria Math" w:hAnsi="Cambria Math"/>
          </w:rPr>
          <m:t>=</m:t>
        </m:r>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oMath>
      <w:r>
        <w:t xml:space="preserve">. Therefore to obtain an estimate of </w:t>
      </w:r>
      <m:oMath>
        <m:r>
          <w:rPr>
            <w:rFonts w:ascii="Cambria Math" w:hAnsi="Cambria Math"/>
          </w:rPr>
          <m:t>SD</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e>
        </m:d>
      </m:oMath>
      <w:r>
        <w:t xml:space="preserve"> from the upper limit</w:t>
      </w:r>
    </w:p>
    <w:p w14:paraId="664D2434" w14:textId="77777777" w:rsidR="00AF76C0" w:rsidRDefault="00000000">
      <w:pPr>
        <w:pStyle w:val="BodyText"/>
      </w:pPr>
      <m:oMathPara>
        <m:oMathParaPr>
          <m:jc m:val="center"/>
        </m:oMathParaPr>
        <m:oMath>
          <m:r>
            <w:rPr>
              <w:rFonts w:ascii="Cambria Math" w:hAnsi="Cambria Math"/>
            </w:rPr>
            <m:t>U</m:t>
          </m:r>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oMath>
      </m:oMathPara>
    </w:p>
    <w:p w14:paraId="3872C445" w14:textId="77777777" w:rsidR="00AF76C0" w:rsidRDefault="00000000">
      <w:pPr>
        <w:pStyle w:val="FirstParagraph"/>
      </w:pPr>
      <w:r>
        <w:t xml:space="preserve">of the posterior interval, </w:t>
      </w:r>
      <m:oMath>
        <m:r>
          <w:rPr>
            <w:rFonts w:ascii="Cambria Math" w:hAnsi="Cambria Math"/>
          </w:rPr>
          <m:t>U</m:t>
        </m:r>
      </m:oMath>
      <w:r>
        <w:t xml:space="preserve"> must be multiplied by a constant </w:t>
      </w:r>
      <m:oMath>
        <m:r>
          <w:rPr>
            <w:rFonts w:ascii="Cambria Math" w:hAnsi="Cambria Math"/>
          </w:rPr>
          <m:t>C</m:t>
        </m:r>
      </m:oMath>
      <w:r>
        <w:t xml:space="preserve"> satisfying</w:t>
      </w:r>
    </w:p>
    <w:p w14:paraId="25E05BB1" w14:textId="77777777" w:rsidR="00AF76C0" w:rsidRDefault="00000000">
      <w:pPr>
        <w:pStyle w:val="BodyText"/>
      </w:pPr>
      <m:oMathPara>
        <m:oMathParaPr>
          <m:jc m:val="center"/>
        </m:oMathParaPr>
        <m:oMath>
          <m:r>
            <w:rPr>
              <w:rFonts w:ascii="Cambria Math" w:hAnsi="Cambria Math"/>
            </w:rPr>
            <m:t>UC</m:t>
          </m:r>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r>
            <m:rPr>
              <m:sty m:val="p"/>
            </m:rPr>
            <w:rPr>
              <w:rFonts w:ascii="Cambria Math" w:hAnsi="Cambria Math"/>
            </w:rPr>
            <m:t>/</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oMath>
      </m:oMathPara>
    </w:p>
    <w:p w14:paraId="2B2A59DD" w14:textId="77777777" w:rsidR="00AF76C0" w:rsidRDefault="00000000">
      <w:pPr>
        <w:pStyle w:val="FirstParagraph"/>
      </w:pPr>
      <m:oMath>
        <m:r>
          <w:rPr>
            <w:rFonts w:ascii="Cambria Math" w:hAnsi="Cambria Math"/>
          </w:rPr>
          <m:t>C</m:t>
        </m:r>
      </m:oMath>
      <w:r>
        <w:t xml:space="preserve"> can be calculated as</w:t>
      </w:r>
    </w:p>
    <w:p w14:paraId="12C62E7B" w14:textId="77777777" w:rsidR="00AF76C0" w:rsidRDefault="00000000">
      <w:pPr>
        <w:pStyle w:val="BodyText"/>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C</m:t>
                </m:r>
              </m:e>
              <m:e>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r>
                  <m:rPr>
                    <m:sty m:val="p"/>
                  </m:rPr>
                  <w:rPr>
                    <w:rFonts w:ascii="Cambria Math" w:hAnsi="Cambria Math"/>
                  </w:rPr>
                  <m:t>/</m:t>
                </m:r>
                <m:r>
                  <w:rPr>
                    <w:rFonts w:ascii="Cambria Math" w:hAnsi="Cambria Math"/>
                  </w:rPr>
                  <m:t>U</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mr>
            <m:mr>
              <m:e/>
              <m:e>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e>
                </m:d>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mr>
            <m:mr>
              <m:e/>
              <m:e>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sup>
                    <m:r>
                      <w:rPr>
                        <w:rFonts w:ascii="Cambria Math" w:hAnsi="Cambria Math"/>
                      </w:rPr>
                      <m:t>2</m:t>
                    </m:r>
                  </m:sup>
                </m:sSup>
              </m:e>
            </m:mr>
            <m:mr>
              <m:e/>
              <m:e>
                <m:r>
                  <m:rPr>
                    <m:sty m:val="p"/>
                  </m:rPr>
                  <w:rPr>
                    <w:rFonts w:ascii="Cambria Math" w:hAnsi="Cambria Math"/>
                  </w:rPr>
                  <m:t>=</m:t>
                </m:r>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sup>
                    <m:r>
                      <w:rPr>
                        <w:rFonts w:ascii="Cambria Math" w:hAnsi="Cambria Math"/>
                      </w:rPr>
                      <m:t>2</m:t>
                    </m:r>
                  </m:sup>
                </m:sSup>
                <m:r>
                  <m:rPr>
                    <m:sty m:val="p"/>
                  </m:rPr>
                  <w:rPr>
                    <w:rFonts w:ascii="Cambria Math" w:hAnsi="Cambria Math"/>
                  </w:rPr>
                  <m:t>.</m:t>
                </m:r>
              </m:e>
            </m:mr>
          </m:m>
        </m:oMath>
      </m:oMathPara>
    </w:p>
    <w:p w14:paraId="57F1EB31" w14:textId="77777777" w:rsidR="00AF76C0" w:rsidRDefault="00000000">
      <w:pPr>
        <w:pStyle w:val="FirstParagraph"/>
      </w:pPr>
      <w:r>
        <w:t xml:space="preserve">Therefore the estimate of </w:t>
      </w:r>
      <m:oMath>
        <m:r>
          <w:rPr>
            <w:rFonts w:ascii="Cambria Math" w:hAnsi="Cambria Math"/>
          </w:rPr>
          <m:t>SD</m:t>
        </m:r>
        <m:d>
          <m:dPr>
            <m:ctrlPr>
              <w:rPr>
                <w:rFonts w:ascii="Cambria Math" w:hAnsi="Cambria Math"/>
              </w:rPr>
            </m:ctrlPr>
          </m:dPr>
          <m:e>
            <m:sSup>
              <m:sSupPr>
                <m:ctrlPr>
                  <w:rPr>
                    <w:rFonts w:ascii="Cambria Math" w:hAnsi="Cambria Math"/>
                  </w:rPr>
                </m:ctrlPr>
              </m:sSupPr>
              <m:e>
                <m:r>
                  <w:rPr>
                    <w:rFonts w:ascii="Cambria Math" w:hAnsi="Cambria Math"/>
                  </w:rPr>
                  <m:t>σ</m:t>
                </m:r>
              </m:e>
              <m:sup>
                <m:r>
                  <w:rPr>
                    <w:rFonts w:ascii="Cambria Math" w:hAnsi="Cambria Math"/>
                  </w:rPr>
                  <m:t>2</m:t>
                </m:r>
              </m:sup>
            </m:sSup>
          </m:e>
        </m:d>
      </m:oMath>
      <w:r>
        <w:t xml:space="preserve"> is </w:t>
      </w:r>
      <m:oMath>
        <m:r>
          <w:rPr>
            <w:rFonts w:ascii="Cambria Math" w:hAnsi="Cambria Math"/>
          </w:rPr>
          <m:t>UC</m:t>
        </m:r>
        <m:r>
          <m:rPr>
            <m:sty m:val="p"/>
          </m:rPr>
          <w:rPr>
            <w:rFonts w:ascii="Cambria Math" w:hAnsi="Cambria Math"/>
          </w:rPr>
          <m:t>=</m:t>
        </m:r>
        <m:r>
          <w:rPr>
            <w:rFonts w:ascii="Cambria Math" w:hAnsi="Cambria Math"/>
          </w:rPr>
          <m:t>U</m:t>
        </m:r>
        <m:rad>
          <m:radPr>
            <m:degHide m:val="1"/>
            <m:ctrlPr>
              <w:rPr>
                <w:rFonts w:ascii="Cambria Math" w:hAnsi="Cambria Math"/>
              </w:rPr>
            </m:ctrlPr>
          </m:radPr>
          <m:deg/>
          <m:e>
            <m:r>
              <w:rPr>
                <w:rFonts w:ascii="Cambria Math" w:hAnsi="Cambria Math"/>
              </w:rPr>
              <m:t>2</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rad>
        <m:sSubSup>
          <m:sSubSupPr>
            <m:ctrlPr>
              <w:rPr>
                <w:rFonts w:ascii="Cambria Math" w:hAnsi="Cambria Math"/>
              </w:rPr>
            </m:ctrlPr>
          </m:sSubSupPr>
          <m:e>
            <m:r>
              <w:rPr>
                <w:rFonts w:ascii="Cambria Math" w:hAnsi="Cambria Math"/>
              </w:rPr>
              <m:t>χ</m:t>
            </m:r>
          </m:e>
          <m:sub>
            <m:r>
              <w:rPr>
                <w:rFonts w:ascii="Cambria Math" w:hAnsi="Cambria Math"/>
              </w:rPr>
              <m:t>n</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0.025</m:t>
            </m:r>
          </m:sub>
          <m:sup>
            <m: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1</m:t>
                </m:r>
              </m:e>
            </m:d>
          </m:e>
          <m:sup>
            <m:r>
              <w:rPr>
                <w:rFonts w:ascii="Cambria Math" w:hAnsi="Cambria Math"/>
              </w:rPr>
              <m:t>2</m:t>
            </m:r>
          </m:sup>
        </m:sSup>
      </m:oMath>
      <w:r>
        <w:t>.</w:t>
      </w:r>
    </w:p>
    <w:p w14:paraId="76D88DB7" w14:textId="77777777" w:rsidR="00AF76C0" w:rsidRDefault="00000000">
      <w:pPr>
        <w:pStyle w:val="BodyText"/>
      </w:pPr>
      <w:r>
        <w:t xml:space="preserve">A similar calculation holds for the lower limit </w:t>
      </w:r>
      <m:oMath>
        <m:r>
          <w:rPr>
            <w:rFonts w:ascii="Cambria Math" w:hAnsi="Cambria Math"/>
          </w:rPr>
          <m:t>L</m:t>
        </m:r>
      </m:oMath>
      <w:r>
        <w:t>.</w:t>
      </w:r>
    </w:p>
    <w:p w14:paraId="6CC19A4B" w14:textId="77777777" w:rsidR="00AF76C0" w:rsidRDefault="00AF76C0">
      <w:pPr>
        <w:pStyle w:val="BodyText"/>
      </w:pPr>
    </w:p>
    <w:p w14:paraId="5A490FFA" w14:textId="77777777" w:rsidR="00AF76C0" w:rsidRDefault="00000000">
      <w:pPr>
        <w:pStyle w:val="Heading2"/>
      </w:pPr>
      <w:bookmarkStart w:id="70" w:name="correlations"/>
      <w:bookmarkStart w:id="71" w:name="_Toc153208244"/>
      <w:bookmarkEnd w:id="68"/>
      <w:r>
        <w:rPr>
          <w:rStyle w:val="SectionNumber"/>
        </w:rPr>
        <w:t>8.3</w:t>
      </w:r>
      <w:r>
        <w:tab/>
        <w:t>Correlations</w:t>
      </w:r>
      <w:bookmarkEnd w:id="71"/>
    </w:p>
    <w:p w14:paraId="3FF6D6D7" w14:textId="77777777" w:rsidR="00AF76C0" w:rsidRDefault="00000000">
      <w:pPr>
        <w:pStyle w:val="FirstParagraph"/>
      </w:pPr>
      <w:r>
        <w:t xml:space="preserve">This sections refers to </w:t>
      </w:r>
      <m:oMath>
        <m:r>
          <w:rPr>
            <w:rFonts w:ascii="Cambria Math" w:hAnsi="Cambria Math"/>
          </w:rPr>
          <m:t>ρ</m:t>
        </m:r>
      </m:oMath>
      <w:r>
        <w:t xml:space="preserve"> in the bivariate model.</w:t>
      </w:r>
    </w:p>
    <w:p w14:paraId="7B9CDAF5" w14:textId="77777777" w:rsidR="00AF76C0" w:rsidRDefault="00000000">
      <w:pPr>
        <w:pStyle w:val="BodyText"/>
      </w:pPr>
      <w:r>
        <w:t xml:space="preserve">The standard deviation of the correlation </w:t>
      </w:r>
      <m:oMath>
        <m:r>
          <w:rPr>
            <w:rFonts w:ascii="Cambria Math" w:hAnsi="Cambria Math"/>
          </w:rPr>
          <m:t>ρ</m:t>
        </m:r>
      </m:oMath>
      <w:r>
        <w:t xml:space="preserve"> between two parameters can be estimated as</w:t>
      </w:r>
    </w:p>
    <w:p w14:paraId="4B88D593" w14:textId="77777777" w:rsidR="00AF76C0" w:rsidRDefault="00000000">
      <w:pPr>
        <w:pStyle w:val="BodyText"/>
      </w:pPr>
      <m:oMathPara>
        <m:oMathParaPr>
          <m:jc m:val="center"/>
        </m:oMathParaPr>
        <m:oMath>
          <m:d>
            <m:dPr>
              <m:ctrlPr>
                <w:rPr>
                  <w:rFonts w:ascii="Cambria Math" w:hAnsi="Cambria Math"/>
                </w:rPr>
              </m:ctrlPr>
            </m:dPr>
            <m:e>
              <m:r>
                <w:rPr>
                  <w:rFonts w:ascii="Cambria Math" w:hAnsi="Cambria Math"/>
                </w:rPr>
                <m:t>1</m:t>
              </m:r>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e>
          </m:d>
          <m:r>
            <m:rPr>
              <m:sty m:val="p"/>
            </m:rPr>
            <w:rPr>
              <w:rFonts w:ascii="Cambria Math" w:hAnsi="Cambria Math"/>
            </w:rPr>
            <m:t>/</m:t>
          </m:r>
          <m:rad>
            <m:radPr>
              <m:degHide m:val="1"/>
              <m:ctrlPr>
                <w:rPr>
                  <w:rFonts w:ascii="Cambria Math" w:hAnsi="Cambria Math"/>
                </w:rPr>
              </m:ctrlPr>
            </m:radPr>
            <m:deg/>
            <m:e>
              <m:r>
                <w:rPr>
                  <w:rFonts w:ascii="Cambria Math" w:hAnsi="Cambria Math"/>
                </w:rPr>
                <m:t>n</m:t>
              </m:r>
              <m:r>
                <m:rPr>
                  <m:sty m:val="p"/>
                </m:rPr>
                <w:rPr>
                  <w:rFonts w:ascii="Cambria Math" w:hAnsi="Cambria Math"/>
                </w:rPr>
                <m:t>-</m:t>
              </m:r>
              <m:r>
                <w:rPr>
                  <w:rFonts w:ascii="Cambria Math" w:hAnsi="Cambria Math"/>
                </w:rPr>
                <m:t>1</m:t>
              </m:r>
            </m:e>
          </m:rad>
        </m:oMath>
      </m:oMathPara>
    </w:p>
    <w:p w14:paraId="5B7649E2" w14:textId="77777777" w:rsidR="00AF76C0" w:rsidRDefault="00000000">
      <w:pPr>
        <w:pStyle w:val="FirstParagraph"/>
      </w:pPr>
      <w:r>
        <w:t xml:space="preserve">where </w:t>
      </w:r>
      <m:oMath>
        <m:r>
          <w:rPr>
            <w:rFonts w:ascii="Cambria Math" w:hAnsi="Cambria Math"/>
          </w:rPr>
          <m:t>r</m:t>
        </m:r>
      </m:oMath>
      <w:r>
        <w:t xml:space="preserve"> is an estimate of their correlation and </w:t>
      </w:r>
      <m:oMath>
        <m:r>
          <w:rPr>
            <w:rFonts w:ascii="Cambria Math" w:hAnsi="Cambria Math"/>
          </w:rPr>
          <m:t>n</m:t>
        </m:r>
      </m:oMath>
      <w:r>
        <w:t xml:space="preserve"> is the number of trials. Note that a confidence interval for </w:t>
      </w:r>
      <m:oMath>
        <m:r>
          <w:rPr>
            <w:rFonts w:ascii="Cambria Math" w:hAnsi="Cambria Math"/>
          </w:rPr>
          <m:t>ρ</m:t>
        </m:r>
      </m:oMath>
      <w:r>
        <w:t xml:space="preserve"> is not required, only a point estimate </w:t>
      </w:r>
      <m:oMath>
        <m:r>
          <w:rPr>
            <w:rFonts w:ascii="Cambria Math" w:hAnsi="Cambria Math"/>
          </w:rPr>
          <m:t>r</m:t>
        </m:r>
      </m:oMath>
      <w:r>
        <w:t>.</w:t>
      </w:r>
    </w:p>
    <w:p w14:paraId="63FD4901" w14:textId="77777777" w:rsidR="00AF76C0" w:rsidRDefault="00000000">
      <w:pPr>
        <w:pStyle w:val="Heading2"/>
      </w:pPr>
      <w:bookmarkStart w:id="72" w:name="shape-of-sroc-curve-beta-1"/>
      <w:bookmarkStart w:id="73" w:name="_Toc153208245"/>
      <w:bookmarkEnd w:id="70"/>
      <w:r>
        <w:rPr>
          <w:rStyle w:val="SectionNumber"/>
        </w:rPr>
        <w:t>8.4</w:t>
      </w:r>
      <w:r>
        <w:tab/>
        <w:t xml:space="preserve">Shape of SROC curve, </w:t>
      </w:r>
      <m:oMath>
        <m:r>
          <m:rPr>
            <m:sty m:val="bi"/>
          </m:rPr>
          <w:rPr>
            <w:rFonts w:ascii="Cambria Math" w:hAnsi="Cambria Math"/>
          </w:rPr>
          <m:t>β</m:t>
        </m:r>
      </m:oMath>
      <w:bookmarkEnd w:id="73"/>
    </w:p>
    <w:p w14:paraId="06E68668" w14:textId="77777777" w:rsidR="00AF76C0" w:rsidRDefault="00000000">
      <w:pPr>
        <w:pStyle w:val="FirstParagraph"/>
      </w:pPr>
      <w:r>
        <w:t xml:space="preserve">This sections refers to </w:t>
      </w:r>
      <m:oMath>
        <m:r>
          <w:rPr>
            <w:rFonts w:ascii="Cambria Math" w:hAnsi="Cambria Math"/>
          </w:rPr>
          <m:t>β</m:t>
        </m:r>
      </m:oMath>
      <w:r>
        <w:t xml:space="preserve"> in the HSROC model. Its standard deviation can be estimated in four ways, using the sensitivity equation</w:t>
      </w:r>
    </w:p>
    <w:p w14:paraId="54BEEB7E" w14:textId="77777777" w:rsidR="00AF76C0" w:rsidRDefault="00000000">
      <w:pPr>
        <w:pStyle w:val="BodyText"/>
      </w:pPr>
      <m:oMathPara>
        <m:oMathParaPr>
          <m:jc m:val="center"/>
        </m:oMathParaPr>
        <m:oMath>
          <m:r>
            <w:rPr>
              <w:rFonts w:ascii="Cambria Math" w:hAnsi="Cambria Math"/>
            </w:rPr>
            <m:t>logit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i1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2</m:t>
              </m:r>
            </m:e>
          </m:d>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2</m:t>
              </m:r>
            </m:e>
          </m:d>
        </m:oMath>
      </m:oMathPara>
    </w:p>
    <w:p w14:paraId="3B5D24F4" w14:textId="77777777" w:rsidR="00AF76C0" w:rsidRDefault="00000000">
      <w:pPr>
        <w:pStyle w:val="FirstParagraph"/>
      </w:pPr>
      <w:r>
        <w:t>or the (1 minus) specificity equation</w:t>
      </w:r>
    </w:p>
    <w:p w14:paraId="7F5F78DB" w14:textId="77777777" w:rsidR="00AF76C0" w:rsidRDefault="00000000">
      <w:pPr>
        <w:pStyle w:val="BodyText"/>
      </w:pPr>
      <m:oMathPara>
        <m:oMathParaPr>
          <m:jc m:val="center"/>
        </m:oMathParaPr>
        <m:oMath>
          <m:r>
            <w:rPr>
              <w:rFonts w:ascii="Cambria Math" w:hAnsi="Cambria Math"/>
            </w:rPr>
            <m:t>logit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i2</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2</m:t>
              </m:r>
            </m:e>
          </m:d>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r>
            <m:rPr>
              <m:sty m:val="p"/>
            </m:rPr>
            <w:rPr>
              <w:rFonts w:ascii="Cambria Math" w:hAnsi="Cambria Math"/>
            </w:rPr>
            <m:t>,</m:t>
          </m:r>
        </m:oMath>
      </m:oMathPara>
    </w:p>
    <w:p w14:paraId="0CAC700F" w14:textId="77777777" w:rsidR="00AF76C0" w:rsidRDefault="00000000">
      <w:pPr>
        <w:pStyle w:val="FirstParagraph"/>
      </w:pPr>
      <w:r>
        <w:lastRenderedPageBreak/>
        <w:t xml:space="preserve">and using the lower limit </w:t>
      </w:r>
      <m:oMath>
        <m:r>
          <w:rPr>
            <w:rFonts w:ascii="Cambria Math" w:hAnsi="Cambria Math"/>
          </w:rPr>
          <m:t>L</m:t>
        </m:r>
      </m:oMath>
      <w:r>
        <w:t xml:space="preserve"> or upper limit </w:t>
      </w:r>
      <m:oMath>
        <m:r>
          <w:rPr>
            <w:rFonts w:ascii="Cambria Math" w:hAnsi="Cambria Math"/>
          </w:rPr>
          <m:t>U</m:t>
        </m:r>
      </m:oMath>
      <w:r>
        <w:t xml:space="preserve"> of the posterior interval. The four estimates are</w:t>
      </w:r>
    </w:p>
    <w:p w14:paraId="4E53A4B9" w14:textId="77777777" w:rsidR="00AF76C0" w:rsidRDefault="00000000">
      <w:pPr>
        <w:pStyle w:val="BodyText"/>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m:rPr>
                    <m:nor/>
                  </m:rPr>
                  <m:t xml:space="preserve">Sensitivity equation, upper limit: </m:t>
                </m:r>
                <m:r>
                  <w:rPr>
                    <w:rFonts w:ascii="Cambria Math" w:hAnsi="Cambria Math"/>
                  </w:rPr>
                  <m:t> </m:t>
                </m:r>
              </m:e>
              <m:e>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U</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e>
                    </m:d>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1</m:t>
                </m:r>
              </m:e>
            </m:mr>
            <m:mr>
              <m:e>
                <m:r>
                  <m:rPr>
                    <m:nor/>
                  </m:rPr>
                  <m:t xml:space="preserve">Sensitivity equation, lower limit: </m:t>
                </m:r>
                <m:r>
                  <w:rPr>
                    <w:rFonts w:ascii="Cambria Math" w:hAnsi="Cambria Math"/>
                  </w:rPr>
                  <m:t> </m:t>
                </m:r>
              </m:e>
              <m:e>
                <m:r>
                  <w:rPr>
                    <w:rFonts w:ascii="Cambria Math" w:hAnsi="Cambria Math"/>
                  </w:rPr>
                  <m:t>1</m:t>
                </m:r>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L</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e>
                    </m:d>
                    <m:r>
                      <m:rPr>
                        <m:sty m:val="p"/>
                      </m:rPr>
                      <w:rPr>
                        <w:rFonts w:ascii="Cambria Math" w:hAnsi="Cambria Math"/>
                      </w:rPr>
                      <m:t>/</m:t>
                    </m:r>
                    <m:r>
                      <w:rPr>
                        <w:rFonts w:ascii="Cambria Math" w:hAnsi="Cambria Math"/>
                      </w:rPr>
                      <m:t>2</m:t>
                    </m:r>
                  </m:e>
                </m:d>
              </m:e>
            </m:mr>
            <m:mr>
              <m:e>
                <m:r>
                  <m:rPr>
                    <m:nor/>
                  </m:rPr>
                  <m:t xml:space="preserve">Specificity equation, upper limit: </m:t>
                </m:r>
                <m:r>
                  <w:rPr>
                    <w:rFonts w:ascii="Cambria Math" w:hAnsi="Cambria Math"/>
                  </w:rPr>
                  <m:t> </m:t>
                </m:r>
              </m:e>
              <m:e>
                <m:r>
                  <w:rPr>
                    <w:rFonts w:ascii="Cambria Math" w:hAnsi="Cambria Math"/>
                  </w:rPr>
                  <m:t>1</m:t>
                </m:r>
                <m:r>
                  <m:rPr>
                    <m:sty m:val="p"/>
                  </m:rPr>
                  <w:rPr>
                    <w:rFonts w:ascii="Cambria Math" w:hAnsi="Cambria Math"/>
                  </w:rPr>
                  <m:t>-exp</m:t>
                </m:r>
                <m:d>
                  <m:dPr>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r>
                          <m:rPr>
                            <m:sty m:val="p"/>
                          </m:rPr>
                          <w:rPr>
                            <w:rFonts w:ascii="Cambria Math" w:hAnsi="Cambria Math"/>
                          </w:rPr>
                          <m:t>-</m:t>
                        </m:r>
                        <m:r>
                          <w:rPr>
                            <w:rFonts w:ascii="Cambria Math" w:hAnsi="Cambria Math"/>
                          </w:rPr>
                          <m:t>U</m:t>
                        </m:r>
                      </m:e>
                    </m:d>
                    <m:r>
                      <m:rPr>
                        <m:sty m:val="p"/>
                      </m:rPr>
                      <w:rPr>
                        <w:rFonts w:ascii="Cambria Math" w:hAnsi="Cambria Math"/>
                      </w:rPr>
                      <m:t>/</m:t>
                    </m:r>
                    <m:r>
                      <w:rPr>
                        <w:rFonts w:ascii="Cambria Math" w:hAnsi="Cambria Math"/>
                      </w:rPr>
                      <m:t>2</m:t>
                    </m:r>
                  </m:e>
                </m:d>
              </m:e>
            </m:mr>
            <m:mr>
              <m:e>
                <m:r>
                  <m:rPr>
                    <m:nor/>
                  </m:rPr>
                  <m:t xml:space="preserve">Specificity equation, lower limit: </m:t>
                </m:r>
                <m:r>
                  <w:rPr>
                    <w:rFonts w:ascii="Cambria Math" w:hAnsi="Cambria Math"/>
                  </w:rPr>
                  <m:t> </m:t>
                </m:r>
              </m:e>
              <m:e>
                <m:r>
                  <m:rPr>
                    <m:sty m:val="p"/>
                  </m:rPr>
                  <w:rPr>
                    <w:rFonts w:ascii="Cambria Math" w:hAnsi="Cambria Math"/>
                  </w:rPr>
                  <m:t>exp</m:t>
                </m:r>
                <m:d>
                  <m:dPr>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r>
                          <m:rPr>
                            <m:sty m:val="p"/>
                          </m:rPr>
                          <w:rPr>
                            <w:rFonts w:ascii="Cambria Math" w:hAnsi="Cambria Math"/>
                          </w:rPr>
                          <m:t>-</m:t>
                        </m:r>
                        <m:r>
                          <w:rPr>
                            <w:rFonts w:ascii="Cambria Math" w:hAnsi="Cambria Math"/>
                          </w:rPr>
                          <m:t>L</m:t>
                        </m:r>
                      </m:e>
                    </m:d>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1</m:t>
                </m:r>
              </m:e>
            </m:mr>
          </m:m>
        </m:oMath>
      </m:oMathPara>
    </w:p>
    <w:p w14:paraId="79E32CAA" w14:textId="77777777" w:rsidR="00AF76C0" w:rsidRDefault="00000000">
      <w:pPr>
        <w:pStyle w:val="FirstParagraph"/>
      </w:pPr>
      <w:r>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oMath>
      <w:r>
        <w:t xml:space="preserve"> is the posterior median of </w:t>
      </w:r>
      <m:oMath>
        <m:r>
          <w:rPr>
            <w:rFonts w:ascii="Cambria Math" w:hAnsi="Cambria Math"/>
          </w:rPr>
          <m:t>β</m:t>
        </m:r>
      </m:oMath>
      <w:r>
        <w:t>. The mean of these estimates can be used as the overall estimate.</w:t>
      </w:r>
    </w:p>
    <w:p w14:paraId="1B355F56" w14:textId="77777777" w:rsidR="00AF76C0" w:rsidRDefault="00000000">
      <w:pPr>
        <w:pStyle w:val="BodyText"/>
      </w:pPr>
      <w:r>
        <w:t>Since the derivation of the estimates are similar, only one is shown, the sensitivity equation using the upper limit.</w:t>
      </w:r>
    </w:p>
    <w:p w14:paraId="6997172B" w14:textId="77777777" w:rsidR="00AF76C0" w:rsidRDefault="00000000">
      <w:pPr>
        <w:pStyle w:val="BodyText"/>
      </w:pPr>
      <w:r>
        <w:t>The sensitivity equation can be rearranged into</w:t>
      </w:r>
    </w:p>
    <w:p w14:paraId="6460BDE9" w14:textId="77777777" w:rsidR="00AF76C0" w:rsidRDefault="00000000">
      <w:pPr>
        <w:pStyle w:val="BodyText"/>
      </w:pPr>
      <m:oMathPara>
        <m:oMathParaPr>
          <m:jc m:val="center"/>
        </m:oMathParaPr>
        <m:oMath>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logit</m:t>
          </m:r>
          <m:d>
            <m:dPr>
              <m:ctrlPr>
                <w:rPr>
                  <w:rFonts w:ascii="Cambria Math" w:hAnsi="Cambria Math"/>
                </w:rPr>
              </m:ctrlPr>
            </m:dPr>
            <m:e>
              <m:sSub>
                <m:sSubPr>
                  <m:ctrlPr>
                    <w:rPr>
                      <w:rFonts w:ascii="Cambria Math" w:hAnsi="Cambria Math"/>
                    </w:rPr>
                  </m:ctrlPr>
                </m:sSubPr>
                <m:e>
                  <m:r>
                    <w:rPr>
                      <w:rFonts w:ascii="Cambria Math" w:hAnsi="Cambria Math"/>
                    </w:rPr>
                    <m:t>π</m:t>
                  </m:r>
                </m:e>
                <m:sub>
                  <m:r>
                    <w:rPr>
                      <w:rFonts w:ascii="Cambria Math" w:hAnsi="Cambria Math"/>
                    </w:rPr>
                    <m:t>i1</m:t>
                  </m:r>
                </m:sub>
              </m:sSub>
            </m:e>
          </m:d>
          <m:r>
            <m:rPr>
              <m:sty m:val="p"/>
            </m:rPr>
            <w:rPr>
              <w:rFonts w:ascii="Cambria Math" w:hAnsi="Cambria Math"/>
            </w:rPr>
            <m:t>.</m:t>
          </m:r>
        </m:oMath>
      </m:oMathPara>
    </w:p>
    <w:p w14:paraId="6E62860F" w14:textId="77777777" w:rsidR="00AF76C0" w:rsidRDefault="00000000">
      <w:pPr>
        <w:pStyle w:val="FirstParagraph"/>
      </w:pPr>
      <w:r>
        <w:t xml:space="preserve">The parameters </w:t>
      </w:r>
      <m:oMath>
        <m:sSub>
          <m:sSubPr>
            <m:ctrlPr>
              <w:rPr>
                <w:rFonts w:ascii="Cambria Math" w:hAnsi="Cambria Math"/>
              </w:rPr>
            </m:ctrlPr>
          </m:sSubPr>
          <m:e>
            <m:r>
              <w:rPr>
                <w:rFonts w:ascii="Cambria Math" w:hAnsi="Cambria Math"/>
              </w:rPr>
              <m:t>θ</m:t>
            </m:r>
          </m:e>
          <m:sub>
            <m:r>
              <w:rPr>
                <w:rFonts w:ascii="Cambria Math" w:hAnsi="Cambria Math"/>
              </w:rPr>
              <m:t>i</m:t>
            </m:r>
          </m:sub>
        </m:sSub>
      </m:oMath>
      <w:r>
        <w:t xml:space="preserve"> and </w:t>
      </w:r>
      <m:oMath>
        <m:sSub>
          <m:sSubPr>
            <m:ctrlPr>
              <w:rPr>
                <w:rFonts w:ascii="Cambria Math" w:hAnsi="Cambria Math"/>
              </w:rPr>
            </m:ctrlPr>
          </m:sSubPr>
          <m:e>
            <m:r>
              <w:rPr>
                <w:rFonts w:ascii="Cambria Math" w:hAnsi="Cambria Math"/>
              </w:rPr>
              <m:t>α</m:t>
            </m:r>
          </m:e>
          <m:sub>
            <m:r>
              <w:rPr>
                <w:rFonts w:ascii="Cambria Math" w:hAnsi="Cambria Math"/>
              </w:rPr>
              <m:t>i</m:t>
            </m:r>
          </m:sub>
        </m:sSub>
      </m:oMath>
      <w:r>
        <w:t xml:space="preserve"> are assumed to be independent and Normally distributed, and the mean sensitivities </w:t>
      </w:r>
      <m:oMath>
        <m:sSub>
          <m:sSubPr>
            <m:ctrlPr>
              <w:rPr>
                <w:rFonts w:ascii="Cambria Math" w:hAnsi="Cambria Math"/>
              </w:rPr>
            </m:ctrlPr>
          </m:sSubPr>
          <m:e>
            <m:r>
              <w:rPr>
                <w:rFonts w:ascii="Cambria Math" w:hAnsi="Cambria Math"/>
              </w:rPr>
              <m:t>π</m:t>
            </m:r>
          </m:e>
          <m:sub>
            <m:r>
              <w:rPr>
                <w:rFonts w:ascii="Cambria Math" w:hAnsi="Cambria Math"/>
              </w:rPr>
              <m:t>i1</m:t>
            </m:r>
          </m:sub>
        </m:sSub>
      </m:oMath>
      <w:r>
        <w:t xml:space="preserve"> are regarded as constants. Therefore </w:t>
      </w:r>
      <m:oMath>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oMath>
      <w:r>
        <w:t xml:space="preserve"> is a linear combination of independent Normal distributions, and so is also Normal, say </w:t>
      </w:r>
      <m:oMath>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μ</m:t>
            </m:r>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e>
        </m:d>
      </m:oMath>
      <w:r>
        <w:t xml:space="preserve">. An estimate of </w:t>
      </w:r>
      <m:oMath>
        <m:r>
          <w:rPr>
            <w:rFonts w:ascii="Cambria Math" w:hAnsi="Cambria Math"/>
          </w:rPr>
          <m:t>μ</m:t>
        </m:r>
      </m:oMath>
      <w:r>
        <w:t xml:space="preserve"> can be obtained by utilising the fact that </w:t>
      </w:r>
      <m:oMath>
        <m:r>
          <w:rPr>
            <w:rFonts w:ascii="Cambria Math" w:hAnsi="Cambria Math"/>
          </w:rPr>
          <m:t>μ</m:t>
        </m:r>
      </m:oMath>
      <w:r>
        <w:t xml:space="preserve"> is the median of the distribution of </w:t>
      </w:r>
      <m:oMath>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oMath>
      <w:r>
        <w:t xml:space="preserve">; it is not the case that </w:t>
      </w:r>
      <m:oMath>
        <m:r>
          <w:rPr>
            <w:rFonts w:ascii="Cambria Math" w:hAnsi="Cambria Math"/>
          </w:rPr>
          <m:t>E</m:t>
        </m:r>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e>
        </m:d>
        <m:r>
          <m:rPr>
            <m:sty m:val="p"/>
          </m:rPr>
          <w:rPr>
            <w:rFonts w:ascii="Cambria Math" w:hAnsi="Cambria Math"/>
          </w:rPr>
          <m:t>=exp</m:t>
        </m:r>
        <m:d>
          <m:dPr>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e>
        </m:d>
      </m:oMath>
      <w:r>
        <w:t>, but this equality does hold if the expected values are replaced with medians. Therefore:</w:t>
      </w:r>
    </w:p>
    <w:p w14:paraId="54BDD54D" w14:textId="77777777" w:rsidR="00AF76C0" w:rsidRDefault="00000000">
      <w:pPr>
        <w:pStyle w:val="BodyText"/>
      </w:pPr>
      <m:oMathPara>
        <m:oMathParaPr>
          <m:jc m:val="center"/>
        </m:oMathParaPr>
        <m:oMath>
          <m:acc>
            <m:accPr>
              <m:ctrlPr>
                <w:rPr>
                  <w:rFonts w:ascii="Cambria Math" w:hAnsi="Cambria Math"/>
                </w:rPr>
              </m:ctrlPr>
            </m:accPr>
            <m:e>
              <m:r>
                <w:rPr>
                  <w:rFonts w:ascii="Cambria Math" w:hAnsi="Cambria Math"/>
                </w:rPr>
                <m:t>μ</m:t>
              </m:r>
            </m:e>
          </m:acc>
          <m:r>
            <m:rPr>
              <m:sty m:val="p"/>
            </m:rPr>
            <w:rPr>
              <w:rFonts w:ascii="Cambria Math" w:hAnsi="Cambria Math"/>
            </w:rPr>
            <m:t>=exp</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r>
                <m:rPr>
                  <m:sty m:val="p"/>
                </m:rPr>
                <w:rPr>
                  <w:rFonts w:ascii="Cambria Math" w:hAnsi="Cambria Math"/>
                </w:rPr>
                <m:t>/</m:t>
              </m:r>
              <m:r>
                <w:rPr>
                  <w:rFonts w:ascii="Cambria Math" w:hAnsi="Cambria Math"/>
                </w:rPr>
                <m:t>2</m:t>
              </m:r>
            </m:e>
          </m:d>
          <m:r>
            <m:rPr>
              <m:sty m:val="p"/>
            </m:rPr>
            <w:rPr>
              <w:rFonts w:ascii="Cambria Math" w:hAnsi="Cambria Math"/>
            </w:rPr>
            <m:t>.</m:t>
          </m:r>
        </m:oMath>
      </m:oMathPara>
    </w:p>
    <w:p w14:paraId="11ACBB60" w14:textId="77777777" w:rsidR="00AF76C0" w:rsidRDefault="00000000">
      <w:pPr>
        <w:pStyle w:val="FirstParagraph"/>
      </w:pPr>
      <w:r>
        <w:t xml:space="preserve">A confidence interval for </w:t>
      </w:r>
      <m:oMath>
        <m:r>
          <w:rPr>
            <w:rFonts w:ascii="Cambria Math" w:hAnsi="Cambria Math"/>
          </w:rPr>
          <m:t>μ</m:t>
        </m:r>
      </m:oMath>
      <w:r>
        <w:t xml:space="preserve"> is </w:t>
      </w:r>
      <m:oMath>
        <m:acc>
          <m:accPr>
            <m:ctrlPr>
              <w:rPr>
                <w:rFonts w:ascii="Cambria Math" w:hAnsi="Cambria Math"/>
              </w:rPr>
            </m:ctrlPr>
          </m:accPr>
          <m:e>
            <m:r>
              <w:rPr>
                <w:rFonts w:ascii="Cambria Math" w:hAnsi="Cambria Math"/>
              </w:rPr>
              <m:t>μ</m:t>
            </m:r>
          </m:e>
        </m:acc>
        <m:r>
          <m:rPr>
            <m:sty m:val="p"/>
          </m:rPr>
          <w:rPr>
            <w:rFonts w:ascii="Cambria Math" w:hAnsi="Cambria Math"/>
          </w:rPr>
          <m:t>±</m:t>
        </m:r>
        <m:r>
          <w:rPr>
            <w:rFonts w:ascii="Cambria Math" w:hAnsi="Cambria Math"/>
          </w:rPr>
          <m:t>1.96</m:t>
        </m:r>
        <m:acc>
          <m:accPr>
            <m:ctrlPr>
              <w:rPr>
                <w:rFonts w:ascii="Cambria Math" w:hAnsi="Cambria Math"/>
              </w:rPr>
            </m:ctrlPr>
          </m:accPr>
          <m:e>
            <m:r>
              <w:rPr>
                <w:rFonts w:ascii="Cambria Math" w:hAnsi="Cambria Math"/>
              </w:rPr>
              <m:t>σ</m:t>
            </m:r>
          </m:e>
        </m:acc>
      </m:oMath>
      <w:r>
        <w:t xml:space="preserve">, which can be transformed into a confidence interval for </w:t>
      </w:r>
      <m:oMath>
        <m:sSub>
          <m:sSubPr>
            <m:ctrlPr>
              <w:rPr>
                <w:rFonts w:ascii="Cambria Math" w:hAnsi="Cambria Math"/>
              </w:rPr>
            </m:ctrlPr>
          </m:sSubPr>
          <m:e>
            <m:r>
              <w:rPr>
                <w:rFonts w:ascii="Cambria Math" w:hAnsi="Cambria Math"/>
              </w:rPr>
              <m:t>β</m:t>
            </m:r>
          </m:e>
          <m:sub>
            <m:r>
              <w:rPr>
                <w:rFonts w:ascii="Cambria Math" w:hAnsi="Cambria Math"/>
              </w:rPr>
              <m:t>m</m:t>
            </m:r>
          </m:sub>
        </m:sSub>
      </m:oMath>
      <w:r>
        <w:t xml:space="preserve"> with limits </w:t>
      </w:r>
      <m:oMath>
        <m:r>
          <w:rPr>
            <w:rFonts w:ascii="Cambria Math" w:hAnsi="Cambria Math"/>
          </w:rPr>
          <m:t>L</m:t>
        </m:r>
        <m:r>
          <m:rPr>
            <m:sty m:val="p"/>
          </m:rPr>
          <w:rPr>
            <w:rFonts w:ascii="Cambria Math" w:hAnsi="Cambria Math"/>
          </w:rPr>
          <m:t>=</m:t>
        </m:r>
        <m:r>
          <w:rPr>
            <w:rFonts w:ascii="Cambria Math" w:hAnsi="Cambria Math"/>
          </w:rPr>
          <m:t>2log</m:t>
        </m:r>
        <m:d>
          <m:dPr>
            <m:ctrlPr>
              <w:rPr>
                <w:rFonts w:ascii="Cambria Math" w:hAnsi="Cambria Math"/>
              </w:rPr>
            </m:ctrlPr>
          </m:dPr>
          <m:e>
            <m:acc>
              <m:accPr>
                <m:ctrlPr>
                  <w:rPr>
                    <w:rFonts w:ascii="Cambria Math" w:hAnsi="Cambria Math"/>
                  </w:rPr>
                </m:ctrlPr>
              </m:accPr>
              <m:e>
                <m:r>
                  <w:rPr>
                    <w:rFonts w:ascii="Cambria Math" w:hAnsi="Cambria Math"/>
                  </w:rPr>
                  <m:t>μ</m:t>
                </m:r>
              </m:e>
            </m:acc>
            <m:r>
              <m:rPr>
                <m:sty m:val="p"/>
              </m:rPr>
              <w:rPr>
                <w:rFonts w:ascii="Cambria Math" w:hAnsi="Cambria Math"/>
              </w:rPr>
              <m:t>-</m:t>
            </m:r>
            <m:r>
              <w:rPr>
                <w:rFonts w:ascii="Cambria Math" w:hAnsi="Cambria Math"/>
              </w:rPr>
              <m:t>1.96</m:t>
            </m:r>
            <m:acc>
              <m:accPr>
                <m:ctrlPr>
                  <w:rPr>
                    <w:rFonts w:ascii="Cambria Math" w:hAnsi="Cambria Math"/>
                  </w:rPr>
                </m:ctrlPr>
              </m:accPr>
              <m:e>
                <m:r>
                  <w:rPr>
                    <w:rFonts w:ascii="Cambria Math" w:hAnsi="Cambria Math"/>
                  </w:rPr>
                  <m:t>σ</m:t>
                </m:r>
              </m:e>
            </m:acc>
          </m:e>
        </m:d>
      </m:oMath>
      <w:r>
        <w:t xml:space="preserve"> and </w:t>
      </w:r>
      <m:oMath>
        <m:r>
          <w:rPr>
            <w:rFonts w:ascii="Cambria Math" w:hAnsi="Cambria Math"/>
          </w:rPr>
          <m:t>U</m:t>
        </m:r>
        <m:r>
          <m:rPr>
            <m:sty m:val="p"/>
          </m:rPr>
          <w:rPr>
            <w:rFonts w:ascii="Cambria Math" w:hAnsi="Cambria Math"/>
          </w:rPr>
          <m:t>=</m:t>
        </m:r>
        <m:r>
          <w:rPr>
            <w:rFonts w:ascii="Cambria Math" w:hAnsi="Cambria Math"/>
          </w:rPr>
          <m:t>2log</m:t>
        </m:r>
        <m:d>
          <m:dPr>
            <m:ctrlPr>
              <w:rPr>
                <w:rFonts w:ascii="Cambria Math" w:hAnsi="Cambria Math"/>
              </w:rPr>
            </m:ctrlPr>
          </m:dPr>
          <m:e>
            <m:acc>
              <m:accPr>
                <m:ctrlPr>
                  <w:rPr>
                    <w:rFonts w:ascii="Cambria Math" w:hAnsi="Cambria Math"/>
                  </w:rPr>
                </m:ctrlPr>
              </m:accPr>
              <m:e>
                <m:r>
                  <w:rPr>
                    <w:rFonts w:ascii="Cambria Math" w:hAnsi="Cambria Math"/>
                  </w:rPr>
                  <m:t>μ</m:t>
                </m:r>
              </m:e>
            </m:acc>
            <m:r>
              <m:rPr>
                <m:sty m:val="p"/>
              </m:rPr>
              <w:rPr>
                <w:rFonts w:ascii="Cambria Math" w:hAnsi="Cambria Math"/>
              </w:rPr>
              <m:t>+</m:t>
            </m:r>
            <m:r>
              <w:rPr>
                <w:rFonts w:ascii="Cambria Math" w:hAnsi="Cambria Math"/>
              </w:rPr>
              <m:t>1.96</m:t>
            </m:r>
            <m:acc>
              <m:accPr>
                <m:ctrlPr>
                  <w:rPr>
                    <w:rFonts w:ascii="Cambria Math" w:hAnsi="Cambria Math"/>
                  </w:rPr>
                </m:ctrlPr>
              </m:accPr>
              <m:e>
                <m:r>
                  <w:rPr>
                    <w:rFonts w:ascii="Cambria Math" w:hAnsi="Cambria Math"/>
                  </w:rPr>
                  <m:t>σ</m:t>
                </m:r>
              </m:e>
            </m:acc>
          </m:e>
        </m:d>
      </m:oMath>
      <w:r>
        <w:t xml:space="preserve">, as long as </w:t>
      </w:r>
      <m:oMath>
        <m:acc>
          <m:accPr>
            <m:ctrlPr>
              <w:rPr>
                <w:rFonts w:ascii="Cambria Math" w:hAnsi="Cambria Math"/>
              </w:rPr>
            </m:ctrlPr>
          </m:accPr>
          <m:e>
            <m:r>
              <w:rPr>
                <w:rFonts w:ascii="Cambria Math" w:hAnsi="Cambria Math"/>
              </w:rPr>
              <m:t>μ</m:t>
            </m:r>
          </m:e>
        </m:acc>
        <m:r>
          <m:rPr>
            <m:sty m:val="p"/>
          </m:rPr>
          <w:rPr>
            <w:rFonts w:ascii="Cambria Math" w:hAnsi="Cambria Math"/>
          </w:rPr>
          <m:t>-</m:t>
        </m:r>
        <m:r>
          <w:rPr>
            <w:rFonts w:ascii="Cambria Math" w:hAnsi="Cambria Math"/>
          </w:rPr>
          <m:t>1.96</m:t>
        </m:r>
        <m:acc>
          <m:accPr>
            <m:ctrlPr>
              <w:rPr>
                <w:rFonts w:ascii="Cambria Math" w:hAnsi="Cambria Math"/>
              </w:rPr>
            </m:ctrlPr>
          </m:accPr>
          <m:e>
            <m:r>
              <w:rPr>
                <w:rFonts w:ascii="Cambria Math" w:hAnsi="Cambria Math"/>
              </w:rPr>
              <m:t>σ</m:t>
            </m:r>
          </m:e>
        </m:acc>
        <m:r>
          <m:rPr>
            <m:sty m:val="p"/>
          </m:rPr>
          <w:rPr>
            <w:rFonts w:ascii="Cambria Math" w:hAnsi="Cambria Math"/>
          </w:rPr>
          <m:t>&gt;</m:t>
        </m:r>
        <m:r>
          <w:rPr>
            <w:rFonts w:ascii="Cambria Math" w:hAnsi="Cambria Math"/>
          </w:rPr>
          <m:t>0</m:t>
        </m:r>
      </m:oMath>
      <w:r>
        <w:t xml:space="preserve">. An estimate of </w:t>
      </w:r>
      <m:oMath>
        <m:r>
          <w:rPr>
            <w:rFonts w:ascii="Cambria Math" w:hAnsi="Cambria Math"/>
          </w:rPr>
          <m:t>σ</m:t>
        </m:r>
      </m:oMath>
      <w:r>
        <w:t xml:space="preserve"> in terms of </w:t>
      </w:r>
      <m:oMath>
        <m:r>
          <w:rPr>
            <w:rFonts w:ascii="Cambria Math" w:hAnsi="Cambria Math"/>
          </w:rPr>
          <m:t>U</m:t>
        </m:r>
      </m:oMath>
      <w:r>
        <w:t xml:space="preserve"> and </w:t>
      </w:r>
      <m:oMath>
        <m:acc>
          <m:accPr>
            <m:ctrlPr>
              <w:rPr>
                <w:rFonts w:ascii="Cambria Math" w:hAnsi="Cambria Math"/>
              </w:rPr>
            </m:ctrlPr>
          </m:accPr>
          <m:e>
            <m:r>
              <w:rPr>
                <w:rFonts w:ascii="Cambria Math" w:hAnsi="Cambria Math"/>
              </w:rPr>
              <m:t>μ</m:t>
            </m:r>
          </m:e>
        </m:acc>
      </m:oMath>
      <w:r>
        <w:t xml:space="preserve"> can then be found by rearranging the equation for </w:t>
      </w:r>
      <m:oMath>
        <m:r>
          <w:rPr>
            <w:rFonts w:ascii="Cambria Math" w:hAnsi="Cambria Math"/>
          </w:rPr>
          <m:t>U</m:t>
        </m:r>
      </m:oMath>
      <w:r>
        <w:t>:</w:t>
      </w:r>
    </w:p>
    <w:p w14:paraId="2A9D0188" w14:textId="77777777" w:rsidR="00AF76C0" w:rsidRDefault="00000000">
      <w:pPr>
        <w:pStyle w:val="BodyText"/>
      </w:pPr>
      <m:oMathPara>
        <m:oMathParaPr>
          <m:jc m:val="center"/>
        </m:oMathParaPr>
        <m:oMath>
          <m:acc>
            <m:accPr>
              <m:ctrlPr>
                <w:rPr>
                  <w:rFonts w:ascii="Cambria Math" w:hAnsi="Cambria Math"/>
                </w:rPr>
              </m:ctrlPr>
            </m:accPr>
            <m:e>
              <m:r>
                <w:rPr>
                  <w:rFonts w:ascii="Cambria Math" w:hAnsi="Cambria Math"/>
                </w:rPr>
                <m:t>σ</m:t>
              </m:r>
            </m:e>
          </m:acc>
          <m:r>
            <m:rPr>
              <m:sty m:val="p"/>
            </m:rPr>
            <w:rPr>
              <w:rFonts w:ascii="Cambria Math" w:hAnsi="Cambria Math"/>
            </w:rPr>
            <m:t>=</m:t>
          </m:r>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2</m:t>
                  </m:r>
                </m:e>
              </m:d>
              <m:r>
                <m:rPr>
                  <m:sty m:val="p"/>
                </m:rPr>
                <w:rPr>
                  <w:rFonts w:ascii="Cambria Math" w:hAnsi="Cambria Math"/>
                </w:rPr>
                <m:t>-</m:t>
              </m:r>
              <m:acc>
                <m:accPr>
                  <m:ctrlPr>
                    <w:rPr>
                      <w:rFonts w:ascii="Cambria Math" w:hAnsi="Cambria Math"/>
                    </w:rPr>
                  </m:ctrlPr>
                </m:accPr>
                <m:e>
                  <m:r>
                    <w:rPr>
                      <w:rFonts w:ascii="Cambria Math" w:hAnsi="Cambria Math"/>
                    </w:rPr>
                    <m:t>μ</m:t>
                  </m:r>
                </m:e>
              </m:acc>
            </m:e>
          </m:d>
          <m:r>
            <m:rPr>
              <m:sty m:val="p"/>
            </m:rPr>
            <w:rPr>
              <w:rFonts w:ascii="Cambria Math" w:hAnsi="Cambria Math"/>
            </w:rPr>
            <m:t>/</m:t>
          </m:r>
          <m:r>
            <w:rPr>
              <w:rFonts w:ascii="Cambria Math" w:hAnsi="Cambria Math"/>
            </w:rPr>
            <m:t>1.96</m:t>
          </m:r>
          <m:r>
            <m:rPr>
              <m:sty m:val="p"/>
            </m:rPr>
            <w:rPr>
              <w:rFonts w:ascii="Cambria Math" w:hAnsi="Cambria Math"/>
            </w:rPr>
            <m:t>.</m:t>
          </m:r>
        </m:oMath>
      </m:oMathPara>
    </w:p>
    <w:p w14:paraId="645085F6" w14:textId="77777777" w:rsidR="00AF76C0" w:rsidRDefault="00000000">
      <w:pPr>
        <w:pStyle w:val="FirstParagraph"/>
      </w:pPr>
      <w:r>
        <w:t xml:space="preserve">In general terms, given a random variable </w:t>
      </w:r>
      <m:oMath>
        <m:r>
          <w:rPr>
            <w:rFonts w:ascii="Cambria Math" w:hAnsi="Cambria Math"/>
          </w:rPr>
          <m:t>X</m:t>
        </m:r>
      </m:oMath>
      <w:r>
        <w:t xml:space="preserve"> and a function </w:t>
      </w:r>
      <m:oMath>
        <m:r>
          <w:rPr>
            <w:rFonts w:ascii="Cambria Math" w:hAnsi="Cambria Math"/>
          </w:rPr>
          <m:t>g</m:t>
        </m:r>
      </m:oMath>
      <w:r>
        <w:t xml:space="preserve">, the variance of </w:t>
      </w:r>
      <m:oMath>
        <m:r>
          <w:rPr>
            <w:rFonts w:ascii="Cambria Math" w:hAnsi="Cambria Math"/>
          </w:rPr>
          <m:t>g</m:t>
        </m:r>
        <m:d>
          <m:dPr>
            <m:ctrlPr>
              <w:rPr>
                <w:rFonts w:ascii="Cambria Math" w:hAnsi="Cambria Math"/>
              </w:rPr>
            </m:ctrlPr>
          </m:dPr>
          <m:e>
            <m:r>
              <w:rPr>
                <w:rFonts w:ascii="Cambria Math" w:hAnsi="Cambria Math"/>
              </w:rPr>
              <m:t>X</m:t>
            </m:r>
          </m:e>
        </m:d>
      </m:oMath>
      <w:r>
        <w:t xml:space="preserve"> can be approximated as</w:t>
      </w:r>
    </w:p>
    <w:p w14:paraId="00301A1E" w14:textId="77777777" w:rsidR="00AF76C0" w:rsidRDefault="00000000">
      <w:pPr>
        <w:pStyle w:val="BodyText"/>
      </w:pPr>
      <m:oMathPara>
        <m:oMathParaPr>
          <m:jc m:val="center"/>
        </m:oMathParaPr>
        <m:oMath>
          <m:r>
            <w:rPr>
              <w:rFonts w:ascii="Cambria Math" w:hAnsi="Cambria Math"/>
            </w:rPr>
            <m:t>Var</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g</m:t>
                  </m:r>
                  <m:r>
                    <m:rPr>
                      <m:sty m:val="p"/>
                    </m:rPr>
                    <w:rPr>
                      <w:rFonts w:ascii="Cambria Math" w:hAnsi="Cambria Math"/>
                    </w:rPr>
                    <m:t>'</m:t>
                  </m:r>
                  <m:d>
                    <m:dPr>
                      <m:ctrlPr>
                        <w:rPr>
                          <w:rFonts w:ascii="Cambria Math" w:hAnsi="Cambria Math"/>
                        </w:rPr>
                      </m:ctrlPr>
                    </m:dPr>
                    <m:e>
                      <m:r>
                        <w:rPr>
                          <w:rFonts w:ascii="Cambria Math" w:hAnsi="Cambria Math"/>
                        </w:rPr>
                        <m:t>E</m:t>
                      </m:r>
                      <m:d>
                        <m:dPr>
                          <m:ctrlPr>
                            <w:rPr>
                              <w:rFonts w:ascii="Cambria Math" w:hAnsi="Cambria Math"/>
                            </w:rPr>
                          </m:ctrlPr>
                        </m:dPr>
                        <m:e>
                          <m:r>
                            <w:rPr>
                              <w:rFonts w:ascii="Cambria Math" w:hAnsi="Cambria Math"/>
                            </w:rPr>
                            <m:t>X</m:t>
                          </m:r>
                        </m:e>
                      </m:d>
                    </m:e>
                  </m:d>
                </m:e>
              </m:d>
            </m:e>
            <m:sup>
              <m:r>
                <w:rPr>
                  <w:rFonts w:ascii="Cambria Math" w:hAnsi="Cambria Math"/>
                </w:rPr>
                <m:t>2</m:t>
              </m:r>
            </m:sup>
          </m:sSup>
          <m:r>
            <w:rPr>
              <w:rFonts w:ascii="Cambria Math" w:hAnsi="Cambria Math"/>
            </w:rPr>
            <m:t>Var</m:t>
          </m:r>
          <m:d>
            <m:dPr>
              <m:ctrlPr>
                <w:rPr>
                  <w:rFonts w:ascii="Cambria Math" w:hAnsi="Cambria Math"/>
                </w:rPr>
              </m:ctrlPr>
            </m:dPr>
            <m:e>
              <m:r>
                <w:rPr>
                  <w:rFonts w:ascii="Cambria Math" w:hAnsi="Cambria Math"/>
                </w:rPr>
                <m:t>X</m:t>
              </m:r>
            </m:e>
          </m:d>
          <m:r>
            <m:rPr>
              <m:sty m:val="p"/>
            </m:rPr>
            <w:rPr>
              <w:rFonts w:ascii="Cambria Math" w:hAnsi="Cambria Math"/>
            </w:rPr>
            <m:t>.</m:t>
          </m:r>
        </m:oMath>
      </m:oMathPara>
    </w:p>
    <w:p w14:paraId="5066AC04" w14:textId="77777777" w:rsidR="00AF76C0" w:rsidRDefault="00000000">
      <w:pPr>
        <w:pStyle w:val="FirstParagraph"/>
      </w:pPr>
      <w:r>
        <w:t xml:space="preserve">Putting </w:t>
      </w:r>
      <m:oMath>
        <m:r>
          <w:rPr>
            <w:rFonts w:ascii="Cambria Math" w:hAnsi="Cambria Math"/>
          </w:rPr>
          <m:t>X</m:t>
        </m:r>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oMath>
      <w:r>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2log</m:t>
        </m:r>
        <m:d>
          <m:dPr>
            <m:ctrlPr>
              <w:rPr>
                <w:rFonts w:ascii="Cambria Math" w:hAnsi="Cambria Math"/>
              </w:rPr>
            </m:ctrlPr>
          </m:dPr>
          <m:e>
            <m:r>
              <w:rPr>
                <w:rFonts w:ascii="Cambria Math" w:hAnsi="Cambria Math"/>
              </w:rPr>
              <m:t>x</m:t>
            </m:r>
          </m:e>
        </m:d>
      </m:oMath>
      <w:r>
        <w:t xml:space="preserve"> and observing that </w:t>
      </w:r>
      <m:oMath>
        <m:r>
          <w:rPr>
            <w:rFonts w:ascii="Cambria Math" w:hAnsi="Cambria Math"/>
          </w:rPr>
          <m:t>g</m:t>
        </m:r>
        <m:r>
          <m:rPr>
            <m:sty m:val="p"/>
          </m:rPr>
          <w:rPr>
            <w:rFonts w:ascii="Cambria Math" w:hAnsi="Cambria Math"/>
          </w:rPr>
          <m:t>'</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2</m:t>
        </m:r>
        <m:r>
          <m:rPr>
            <m:sty m:val="p"/>
          </m:rPr>
          <w:rPr>
            <w:rFonts w:ascii="Cambria Math" w:hAnsi="Cambria Math"/>
          </w:rPr>
          <m:t>/</m:t>
        </m:r>
        <m:r>
          <w:rPr>
            <w:rFonts w:ascii="Cambria Math" w:hAnsi="Cambria Math"/>
          </w:rPr>
          <m:t>x</m:t>
        </m:r>
      </m:oMath>
      <w:r>
        <w:t xml:space="preserve"> yields</w:t>
      </w:r>
    </w:p>
    <w:p w14:paraId="0DE1FB5C" w14:textId="77777777" w:rsidR="00AF76C0" w:rsidRDefault="00000000">
      <w:pPr>
        <w:pStyle w:val="BodyText"/>
      </w:pPr>
      <m:oMathPara>
        <m:oMathParaPr>
          <m:jc m:val="center"/>
        </m:oMathParaPr>
        <m:oMath>
          <m:r>
            <w:rPr>
              <w:rFonts w:ascii="Cambria Math" w:hAnsi="Cambria Math"/>
            </w:rPr>
            <m:t>Var</m:t>
          </m:r>
          <m:d>
            <m:dPr>
              <m:ctrlPr>
                <w:rPr>
                  <w:rFonts w:ascii="Cambria Math" w:hAnsi="Cambria Math"/>
                </w:rPr>
              </m:ctrlPr>
            </m:dPr>
            <m:e>
              <m:r>
                <w:rPr>
                  <w:rFonts w:ascii="Cambria Math" w:hAnsi="Cambria Math"/>
                </w:rPr>
                <m:t>β</m:t>
              </m:r>
            </m:e>
          </m:d>
          <m:r>
            <m:rPr>
              <m:sty m:val="p"/>
            </m:rPr>
            <w:rPr>
              <w:rFonts w:ascii="Cambria Math" w:hAnsi="Cambria Math"/>
            </w:rPr>
            <m:t>=</m:t>
          </m:r>
          <m:r>
            <w:rPr>
              <w:rFonts w:ascii="Cambria Math" w:hAnsi="Cambria Math"/>
            </w:rPr>
            <m:t>Var</m:t>
          </m:r>
          <m:d>
            <m:dPr>
              <m:ctrlPr>
                <w:rPr>
                  <w:rFonts w:ascii="Cambria Math" w:hAnsi="Cambria Math"/>
                </w:rPr>
              </m:ctrlPr>
            </m:dPr>
            <m:e>
              <m:r>
                <w:rPr>
                  <w:rFonts w:ascii="Cambria Math" w:hAnsi="Cambria Math"/>
                </w:rPr>
                <m:t>2log</m:t>
              </m:r>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β</m:t>
                      </m:r>
                      <m:r>
                        <m:rPr>
                          <m:sty m:val="p"/>
                        </m:rPr>
                        <w:rPr>
                          <w:rFonts w:ascii="Cambria Math" w:hAnsi="Cambria Math"/>
                        </w:rPr>
                        <m:t>/</m:t>
                      </m:r>
                      <m:r>
                        <w:rPr>
                          <w:rFonts w:ascii="Cambria Math" w:hAnsi="Cambria Math"/>
                        </w:rPr>
                        <m:t>2</m:t>
                      </m:r>
                    </m:e>
                  </m:d>
                </m:e>
              </m:d>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2</m:t>
                  </m:r>
                  <m:r>
                    <m:rPr>
                      <m:sty m:val="p"/>
                    </m:rPr>
                    <w:rPr>
                      <w:rFonts w:ascii="Cambria Math" w:hAnsi="Cambria Math"/>
                    </w:rPr>
                    <m:t>/</m:t>
                  </m:r>
                  <m:acc>
                    <m:accPr>
                      <m:ctrlPr>
                        <w:rPr>
                          <w:rFonts w:ascii="Cambria Math" w:hAnsi="Cambria Math"/>
                        </w:rPr>
                      </m:ctrlPr>
                    </m:accPr>
                    <m:e>
                      <m:r>
                        <w:rPr>
                          <w:rFonts w:ascii="Cambria Math" w:hAnsi="Cambria Math"/>
                        </w:rPr>
                        <m:t>μ</m:t>
                      </m:r>
                    </m:e>
                  </m:acc>
                </m:e>
              </m:d>
            </m:e>
            <m:sup>
              <m:r>
                <w:rPr>
                  <w:rFonts w:ascii="Cambria Math" w:hAnsi="Cambria Math"/>
                </w:rPr>
                <m:t>2</m:t>
              </m:r>
            </m:sup>
          </m:sSup>
          <m:sSup>
            <m:sSupPr>
              <m:ctrlPr>
                <w:rPr>
                  <w:rFonts w:ascii="Cambria Math" w:hAnsi="Cambria Math"/>
                </w:rPr>
              </m:ctrlPr>
            </m:sSupPr>
            <m:e>
              <m:acc>
                <m:accPr>
                  <m:ctrlPr>
                    <w:rPr>
                      <w:rFonts w:ascii="Cambria Math" w:hAnsi="Cambria Math"/>
                    </w:rPr>
                  </m:ctrlPr>
                </m:accPr>
                <m:e>
                  <m:r>
                    <w:rPr>
                      <w:rFonts w:ascii="Cambria Math" w:hAnsi="Cambria Math"/>
                    </w:rPr>
                    <m:t>σ</m:t>
                  </m:r>
                </m:e>
              </m:acc>
            </m:e>
            <m:sup>
              <m: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2</m:t>
                  </m:r>
                  <m:acc>
                    <m:accPr>
                      <m:ctrlPr>
                        <w:rPr>
                          <w:rFonts w:ascii="Cambria Math" w:hAnsi="Cambria Math"/>
                        </w:rPr>
                      </m:ctrlPr>
                    </m:accPr>
                    <m:e>
                      <m:r>
                        <w:rPr>
                          <w:rFonts w:ascii="Cambria Math" w:hAnsi="Cambria Math"/>
                        </w:rPr>
                        <m:t>σ</m:t>
                      </m:r>
                    </m:e>
                  </m:acc>
                  <m:r>
                    <m:rPr>
                      <m:sty m:val="p"/>
                    </m:rPr>
                    <w:rPr>
                      <w:rFonts w:ascii="Cambria Math" w:hAnsi="Cambria Math"/>
                    </w:rPr>
                    <m:t>/</m:t>
                  </m:r>
                  <m:acc>
                    <m:accPr>
                      <m:ctrlPr>
                        <w:rPr>
                          <w:rFonts w:ascii="Cambria Math" w:hAnsi="Cambria Math"/>
                        </w:rPr>
                      </m:ctrlPr>
                    </m:accPr>
                    <m:e>
                      <m:r>
                        <w:rPr>
                          <w:rFonts w:ascii="Cambria Math" w:hAnsi="Cambria Math"/>
                        </w:rPr>
                        <m:t>μ</m:t>
                      </m:r>
                    </m:e>
                  </m:acc>
                </m:e>
              </m:d>
            </m:e>
            <m:sup>
              <m:r>
                <w:rPr>
                  <w:rFonts w:ascii="Cambria Math" w:hAnsi="Cambria Math"/>
                </w:rPr>
                <m:t>2</m:t>
              </m:r>
            </m:sup>
          </m:sSup>
          <m:r>
            <m:rPr>
              <m:sty m:val="p"/>
            </m:rPr>
            <w:rPr>
              <w:rFonts w:ascii="Cambria Math" w:hAnsi="Cambria Math"/>
            </w:rPr>
            <m:t>.</m:t>
          </m:r>
        </m:oMath>
      </m:oMathPara>
    </w:p>
    <w:p w14:paraId="3174BB7C" w14:textId="77777777" w:rsidR="00AF76C0" w:rsidRDefault="00000000">
      <w:pPr>
        <w:pStyle w:val="FirstParagraph"/>
      </w:pPr>
      <w:r>
        <w:t>Therefore</w:t>
      </w:r>
    </w:p>
    <w:p w14:paraId="66494D53"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β</m:t>
              </m:r>
            </m:e>
          </m:d>
          <m:r>
            <m:rPr>
              <m:sty m:val="p"/>
            </m:rPr>
            <w:rPr>
              <w:rFonts w:ascii="Cambria Math" w:hAnsi="Cambria Math"/>
            </w:rPr>
            <m:t>≈</m:t>
          </m:r>
          <m:r>
            <w:rPr>
              <w:rFonts w:ascii="Cambria Math" w:hAnsi="Cambria Math"/>
            </w:rPr>
            <m:t>2</m:t>
          </m:r>
          <m:acc>
            <m:accPr>
              <m:ctrlPr>
                <w:rPr>
                  <w:rFonts w:ascii="Cambria Math" w:hAnsi="Cambria Math"/>
                </w:rPr>
              </m:ctrlPr>
            </m:accPr>
            <m:e>
              <m:r>
                <w:rPr>
                  <w:rFonts w:ascii="Cambria Math" w:hAnsi="Cambria Math"/>
                </w:rPr>
                <m:t>σ</m:t>
              </m:r>
            </m:e>
          </m:acc>
          <m:r>
            <m:rPr>
              <m:sty m:val="p"/>
            </m:rPr>
            <w:rPr>
              <w:rFonts w:ascii="Cambria Math" w:hAnsi="Cambria Math"/>
            </w:rPr>
            <m:t>/</m:t>
          </m:r>
          <m:acc>
            <m:accPr>
              <m:ctrlPr>
                <w:rPr>
                  <w:rFonts w:ascii="Cambria Math" w:hAnsi="Cambria Math"/>
                </w:rPr>
              </m:ctrlPr>
            </m:accPr>
            <m:e>
              <m:r>
                <w:rPr>
                  <w:rFonts w:ascii="Cambria Math" w:hAnsi="Cambria Math"/>
                </w:rPr>
                <m:t>μ</m:t>
              </m:r>
            </m:e>
          </m:acc>
          <m:r>
            <m:rPr>
              <m:sty m:val="p"/>
            </m:rPr>
            <w:rPr>
              <w:rFonts w:ascii="Cambria Math" w:hAnsi="Cambria Math"/>
            </w:rPr>
            <m:t>.</m:t>
          </m:r>
        </m:oMath>
      </m:oMathPara>
    </w:p>
    <w:p w14:paraId="25285BB8" w14:textId="77777777" w:rsidR="00AF76C0" w:rsidRDefault="00000000">
      <w:pPr>
        <w:pStyle w:val="FirstParagraph"/>
      </w:pPr>
      <w:r>
        <w:t xml:space="preserve">Substituting in the estimates </w:t>
      </w:r>
      <m:oMath>
        <m:acc>
          <m:accPr>
            <m:ctrlPr>
              <w:rPr>
                <w:rFonts w:ascii="Cambria Math" w:hAnsi="Cambria Math"/>
              </w:rPr>
            </m:ctrlPr>
          </m:accPr>
          <m:e>
            <m:r>
              <w:rPr>
                <w:rFonts w:ascii="Cambria Math" w:hAnsi="Cambria Math"/>
              </w:rPr>
              <m:t>μ</m:t>
            </m:r>
          </m:e>
        </m:acc>
      </m:oMath>
      <w:r>
        <w:t xml:space="preserve"> and </w:t>
      </w:r>
      <m:oMath>
        <m:acc>
          <m:accPr>
            <m:ctrlPr>
              <w:rPr>
                <w:rFonts w:ascii="Cambria Math" w:hAnsi="Cambria Math"/>
              </w:rPr>
            </m:ctrlPr>
          </m:accPr>
          <m:e>
            <m:r>
              <w:rPr>
                <w:rFonts w:ascii="Cambria Math" w:hAnsi="Cambria Math"/>
              </w:rPr>
              <m:t>σ</m:t>
            </m:r>
          </m:e>
        </m:acc>
      </m:oMath>
      <w:r>
        <w:t xml:space="preserve"> obtained earlier gives</w:t>
      </w:r>
    </w:p>
    <w:p w14:paraId="18537145" w14:textId="77777777" w:rsidR="00AF76C0" w:rsidRDefault="00000000">
      <w:pPr>
        <w:pStyle w:val="BodyText"/>
      </w:pPr>
      <m:oMathPara>
        <m:oMathParaPr>
          <m:jc m:val="center"/>
        </m:oMathParaPr>
        <m:oMath>
          <m:m>
            <m:mPr>
              <m:plcHide m:val="1"/>
              <m:mcs>
                <m:mc>
                  <m:mcPr>
                    <m:count m:val="1"/>
                    <m:mcJc m:val="right"/>
                  </m:mcPr>
                </m:mc>
                <m:mc>
                  <m:mcPr>
                    <m:count m:val="1"/>
                    <m:mcJc m:val="left"/>
                  </m:mcPr>
                </m:mc>
              </m:mcs>
              <m:ctrlPr>
                <w:rPr>
                  <w:rFonts w:ascii="Cambria Math" w:hAnsi="Cambria Math"/>
                </w:rPr>
              </m:ctrlPr>
            </m:mPr>
            <m:mr>
              <m:e>
                <m:r>
                  <w:rPr>
                    <w:rFonts w:ascii="Cambria Math" w:hAnsi="Cambria Math"/>
                  </w:rPr>
                  <m:t>SD</m:t>
                </m:r>
                <m:d>
                  <m:dPr>
                    <m:ctrlPr>
                      <w:rPr>
                        <w:rFonts w:ascii="Cambria Math" w:hAnsi="Cambria Math"/>
                      </w:rPr>
                    </m:ctrlPr>
                  </m:dPr>
                  <m:e>
                    <m:r>
                      <w:rPr>
                        <w:rFonts w:ascii="Cambria Math" w:hAnsi="Cambria Math"/>
                      </w:rPr>
                      <m:t>β</m:t>
                    </m:r>
                  </m:e>
                </m:d>
              </m:e>
              <m:e>
                <m:r>
                  <m:rPr>
                    <m:sty m:val="p"/>
                  </m:rPr>
                  <w:rPr>
                    <w:rFonts w:ascii="Cambria Math" w:hAnsi="Cambria Math"/>
                  </w:rPr>
                  <m:t>≈</m:t>
                </m:r>
                <m:r>
                  <w:rPr>
                    <w:rFonts w:ascii="Cambria Math" w:hAnsi="Cambria Math"/>
                  </w:rPr>
                  <m:t>2</m:t>
                </m:r>
                <m:acc>
                  <m:accPr>
                    <m:ctrlPr>
                      <w:rPr>
                        <w:rFonts w:ascii="Cambria Math" w:hAnsi="Cambria Math"/>
                      </w:rPr>
                    </m:ctrlPr>
                  </m:accPr>
                  <m:e>
                    <m:r>
                      <w:rPr>
                        <w:rFonts w:ascii="Cambria Math" w:hAnsi="Cambria Math"/>
                      </w:rPr>
                      <m:t>σ</m:t>
                    </m:r>
                  </m:e>
                </m:acc>
                <m:r>
                  <m:rPr>
                    <m:sty m:val="p"/>
                  </m:rPr>
                  <w:rPr>
                    <w:rFonts w:ascii="Cambria Math" w:hAnsi="Cambria Math"/>
                  </w:rPr>
                  <m:t>/</m:t>
                </m:r>
                <m:acc>
                  <m:accPr>
                    <m:ctrlPr>
                      <w:rPr>
                        <w:rFonts w:ascii="Cambria Math" w:hAnsi="Cambria Math"/>
                      </w:rPr>
                    </m:ctrlPr>
                  </m:accPr>
                  <m:e>
                    <m:r>
                      <w:rPr>
                        <w:rFonts w:ascii="Cambria Math" w:hAnsi="Cambria Math"/>
                      </w:rPr>
                      <m:t>μ</m:t>
                    </m:r>
                  </m:e>
                </m:acc>
              </m:e>
            </m:mr>
            <m:mr>
              <m:e/>
              <m:e>
                <m:r>
                  <m:rPr>
                    <m:sty m:val="p"/>
                  </m:rPr>
                  <w:rPr>
                    <w:rFonts w:ascii="Cambria Math" w:hAnsi="Cambria Math"/>
                  </w:rPr>
                  <m:t>=</m:t>
                </m:r>
                <m:r>
                  <w:rPr>
                    <w:rFonts w:ascii="Cambria Math" w:hAnsi="Cambria Math"/>
                  </w:rPr>
                  <m:t>2</m:t>
                </m:r>
                <m:d>
                  <m:dPr>
                    <m:ctrlPr>
                      <w:rPr>
                        <w:rFonts w:ascii="Cambria Math" w:hAnsi="Cambria Math"/>
                      </w:rPr>
                    </m:ctrlPr>
                  </m:dPr>
                  <m:e>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2</m:t>
                            </m:r>
                          </m:e>
                        </m:d>
                        <m:r>
                          <m:rPr>
                            <m:sty m:val="p"/>
                          </m:rPr>
                          <w:rPr>
                            <w:rFonts w:ascii="Cambria Math" w:hAnsi="Cambria Math"/>
                          </w:rPr>
                          <m:t>-</m:t>
                        </m:r>
                        <m:acc>
                          <m:accPr>
                            <m:ctrlPr>
                              <w:rPr>
                                <w:rFonts w:ascii="Cambria Math" w:hAnsi="Cambria Math"/>
                              </w:rPr>
                            </m:ctrlPr>
                          </m:accPr>
                          <m:e>
                            <m:r>
                              <w:rPr>
                                <w:rFonts w:ascii="Cambria Math" w:hAnsi="Cambria Math"/>
                              </w:rPr>
                              <m:t>μ</m:t>
                            </m:r>
                          </m:e>
                        </m:acc>
                      </m:e>
                    </m:d>
                    <m:r>
                      <m:rPr>
                        <m:sty m:val="p"/>
                      </m:rPr>
                      <w:rPr>
                        <w:rFonts w:ascii="Cambria Math" w:hAnsi="Cambria Math"/>
                      </w:rPr>
                      <m:t>/</m:t>
                    </m:r>
                    <m:r>
                      <w:rPr>
                        <w:rFonts w:ascii="Cambria Math" w:hAnsi="Cambria Math"/>
                      </w:rPr>
                      <m:t>1.96</m:t>
                    </m:r>
                  </m:e>
                </m:d>
                <m:r>
                  <m:rPr>
                    <m:sty m:val="p"/>
                  </m:rPr>
                  <w:rPr>
                    <w:rFonts w:ascii="Cambria Math" w:hAnsi="Cambria Math"/>
                  </w:rPr>
                  <m:t>/</m:t>
                </m:r>
                <m:acc>
                  <m:accPr>
                    <m:ctrlPr>
                      <w:rPr>
                        <w:rFonts w:ascii="Cambria Math" w:hAnsi="Cambria Math"/>
                      </w:rPr>
                    </m:ctrlPr>
                  </m:accPr>
                  <m:e>
                    <m:r>
                      <w:rPr>
                        <w:rFonts w:ascii="Cambria Math" w:hAnsi="Cambria Math"/>
                      </w:rPr>
                      <m:t>μ</m:t>
                    </m:r>
                  </m:e>
                </m:acc>
              </m:e>
            </m:mr>
            <m:mr>
              <m:e/>
              <m:e>
                <m:r>
                  <m:rPr>
                    <m:sty m:val="p"/>
                  </m:rPr>
                  <w:rPr>
                    <w:rFonts w:ascii="Cambria Math" w:hAnsi="Cambria Math"/>
                  </w:rPr>
                  <m:t>≈</m:t>
                </m:r>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2</m:t>
                        </m:r>
                      </m:e>
                    </m:d>
                    <m:r>
                      <m:rPr>
                        <m:sty m:val="p"/>
                      </m:rPr>
                      <w:rPr>
                        <w:rFonts w:ascii="Cambria Math" w:hAnsi="Cambria Math"/>
                      </w:rPr>
                      <m:t>-</m:t>
                    </m:r>
                    <m:acc>
                      <m:accPr>
                        <m:ctrlPr>
                          <w:rPr>
                            <w:rFonts w:ascii="Cambria Math" w:hAnsi="Cambria Math"/>
                          </w:rPr>
                        </m:ctrlPr>
                      </m:accPr>
                      <m:e>
                        <m:r>
                          <w:rPr>
                            <w:rFonts w:ascii="Cambria Math" w:hAnsi="Cambria Math"/>
                          </w:rPr>
                          <m:t>μ</m:t>
                        </m:r>
                      </m:e>
                    </m:acc>
                  </m:e>
                </m:d>
                <m:r>
                  <m:rPr>
                    <m:sty m:val="p"/>
                  </m:rPr>
                  <w:rPr>
                    <w:rFonts w:ascii="Cambria Math" w:hAnsi="Cambria Math"/>
                  </w:rPr>
                  <m:t>/</m:t>
                </m:r>
                <m:acc>
                  <m:accPr>
                    <m:ctrlPr>
                      <w:rPr>
                        <w:rFonts w:ascii="Cambria Math" w:hAnsi="Cambria Math"/>
                      </w:rPr>
                    </m:ctrlPr>
                  </m:accPr>
                  <m:e>
                    <m:r>
                      <w:rPr>
                        <w:rFonts w:ascii="Cambria Math" w:hAnsi="Cambria Math"/>
                      </w:rPr>
                      <m:t>μ</m:t>
                    </m:r>
                  </m:e>
                </m:acc>
              </m:e>
            </m:mr>
            <m:mr>
              <m:e/>
              <m:e>
                <m:r>
                  <m:rPr>
                    <m:sty m:val="p"/>
                  </m:rPr>
                  <w:rPr>
                    <w:rFonts w:ascii="Cambria Math" w:hAnsi="Cambria Math"/>
                  </w:rPr>
                  <m:t>=</m:t>
                </m:r>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2</m:t>
                        </m:r>
                      </m:e>
                    </m:d>
                    <m:r>
                      <m:rPr>
                        <m:sty m:val="p"/>
                      </m:rPr>
                      <w:rPr>
                        <w:rFonts w:ascii="Cambria Math" w:hAnsi="Cambria Math"/>
                      </w:rPr>
                      <m:t>/</m:t>
                    </m:r>
                    <m:acc>
                      <m:accPr>
                        <m:ctrlPr>
                          <w:rPr>
                            <w:rFonts w:ascii="Cambria Math" w:hAnsi="Cambria Math"/>
                          </w:rPr>
                        </m:ctrlPr>
                      </m:accPr>
                      <m:e>
                        <m:r>
                          <w:rPr>
                            <w:rFonts w:ascii="Cambria Math" w:hAnsi="Cambria Math"/>
                          </w:rPr>
                          <m:t>μ</m:t>
                        </m:r>
                      </m:e>
                    </m:acc>
                  </m:e>
                </m:d>
                <m:r>
                  <m:rPr>
                    <m:sty m:val="p"/>
                  </m:rPr>
                  <w:rPr>
                    <w:rFonts w:ascii="Cambria Math" w:hAnsi="Cambria Math"/>
                  </w:rPr>
                  <m:t>-</m:t>
                </m:r>
                <m:r>
                  <w:rPr>
                    <w:rFonts w:ascii="Cambria Math" w:hAnsi="Cambria Math"/>
                  </w:rPr>
                  <m:t>1</m:t>
                </m:r>
              </m:e>
            </m:mr>
            <m:mr>
              <m:e/>
              <m:e>
                <m:r>
                  <m:rPr>
                    <m:sty m:val="p"/>
                  </m:rPr>
                  <w:rPr>
                    <w:rFonts w:ascii="Cambria Math" w:hAnsi="Cambria Math"/>
                  </w:rPr>
                  <m:t>=</m:t>
                </m:r>
                <m:d>
                  <m:dPr>
                    <m:ctrlPr>
                      <w:rPr>
                        <w:rFonts w:ascii="Cambria Math" w:hAnsi="Cambria Math"/>
                      </w:rPr>
                    </m:ctrlPr>
                  </m:dPr>
                  <m:e>
                    <m:r>
                      <m:rPr>
                        <m:sty m:val="p"/>
                      </m:rPr>
                      <w:rPr>
                        <w:rFonts w:ascii="Cambria Math" w:hAnsi="Cambria Math"/>
                      </w:rPr>
                      <m:t>exp</m:t>
                    </m:r>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2</m:t>
                        </m:r>
                      </m:e>
                    </m:d>
                    <m:r>
                      <m:rPr>
                        <m:sty m:val="p"/>
                      </m:rPr>
                      <w:rPr>
                        <w:rFonts w:ascii="Cambria Math" w:hAnsi="Cambria Math"/>
                      </w:rPr>
                      <m:t>/exp</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r>
                          <m:rPr>
                            <m:sty m:val="p"/>
                          </m:rPr>
                          <w:rPr>
                            <w:rFonts w:ascii="Cambria Math" w:hAnsi="Cambria Math"/>
                          </w:rPr>
                          <m:t>/</m:t>
                        </m:r>
                        <m:r>
                          <w:rPr>
                            <w:rFonts w:ascii="Cambria Math" w:hAnsi="Cambria Math"/>
                          </w:rPr>
                          <m:t>2</m:t>
                        </m:r>
                      </m:e>
                    </m:d>
                  </m:e>
                </m:d>
                <m:r>
                  <m:rPr>
                    <m:sty m:val="p"/>
                  </m:rPr>
                  <w:rPr>
                    <w:rFonts w:ascii="Cambria Math" w:hAnsi="Cambria Math"/>
                  </w:rPr>
                  <m:t>-</m:t>
                </m:r>
                <m:r>
                  <w:rPr>
                    <w:rFonts w:ascii="Cambria Math" w:hAnsi="Cambria Math"/>
                  </w:rPr>
                  <m:t>1</m:t>
                </m:r>
              </m:e>
            </m:mr>
            <m:mr>
              <m:e/>
              <m:e>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U</m:t>
                        </m:r>
                        <m:r>
                          <m:rPr>
                            <m:sty m:val="p"/>
                          </m:rPr>
                          <w:rPr>
                            <w:rFonts w:ascii="Cambria Math" w:hAnsi="Cambria Math"/>
                          </w:rPr>
                          <m:t>/</m:t>
                        </m:r>
                        <m:r>
                          <w:rPr>
                            <w:rFonts w:ascii="Cambria Math" w:hAnsi="Cambria Math"/>
                          </w:rPr>
                          <m:t>2</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r>
                          <m:rPr>
                            <m:sty m:val="p"/>
                          </m:rPr>
                          <w:rPr>
                            <w:rFonts w:ascii="Cambria Math" w:hAnsi="Cambria Math"/>
                          </w:rPr>
                          <m:t>/</m:t>
                        </m:r>
                        <m:r>
                          <w:rPr>
                            <w:rFonts w:ascii="Cambria Math" w:hAnsi="Cambria Math"/>
                          </w:rPr>
                          <m:t>2</m:t>
                        </m:r>
                      </m:e>
                    </m:d>
                  </m:e>
                </m:d>
                <m:r>
                  <m:rPr>
                    <m:sty m:val="p"/>
                  </m:rPr>
                  <w:rPr>
                    <w:rFonts w:ascii="Cambria Math" w:hAnsi="Cambria Math"/>
                  </w:rPr>
                  <m:t>-</m:t>
                </m:r>
                <m:r>
                  <w:rPr>
                    <w:rFonts w:ascii="Cambria Math" w:hAnsi="Cambria Math"/>
                  </w:rPr>
                  <m:t>1</m:t>
                </m:r>
              </m:e>
            </m:mr>
            <m:mr>
              <m:e/>
              <m:e>
                <m:r>
                  <m:rPr>
                    <m:sty m:val="p"/>
                  </m:rPr>
                  <w:rPr>
                    <w:rFonts w:ascii="Cambria Math" w:hAnsi="Cambria Math"/>
                  </w:rPr>
                  <m:t>=exp</m:t>
                </m:r>
                <m:d>
                  <m:dPr>
                    <m:ctrlPr>
                      <w:rPr>
                        <w:rFonts w:ascii="Cambria Math" w:hAnsi="Cambria Math"/>
                      </w:rPr>
                    </m:ctrlPr>
                  </m:dPr>
                  <m:e>
                    <m:d>
                      <m:dPr>
                        <m:ctrlPr>
                          <w:rPr>
                            <w:rFonts w:ascii="Cambria Math" w:hAnsi="Cambria Math"/>
                          </w:rPr>
                        </m:ctrlPr>
                      </m:dPr>
                      <m:e>
                        <m:r>
                          <w:rPr>
                            <w:rFonts w:ascii="Cambria Math" w:hAnsi="Cambria Math"/>
                          </w:rPr>
                          <m:t>U</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m</m:t>
                            </m:r>
                          </m:sub>
                        </m:sSub>
                      </m:e>
                    </m:d>
                    <m:r>
                      <m:rPr>
                        <m:sty m:val="p"/>
                      </m:rPr>
                      <w:rPr>
                        <w:rFonts w:ascii="Cambria Math" w:hAnsi="Cambria Math"/>
                      </w:rPr>
                      <m:t>/</m:t>
                    </m:r>
                    <m:r>
                      <w:rPr>
                        <w:rFonts w:ascii="Cambria Math" w:hAnsi="Cambria Math"/>
                      </w:rPr>
                      <m:t>2</m:t>
                    </m:r>
                  </m:e>
                </m:d>
                <m:r>
                  <m:rPr>
                    <m:sty m:val="p"/>
                  </m:rPr>
                  <w:rPr>
                    <w:rFonts w:ascii="Cambria Math" w:hAnsi="Cambria Math"/>
                  </w:rPr>
                  <m:t>-</m:t>
                </m:r>
                <m:r>
                  <w:rPr>
                    <w:rFonts w:ascii="Cambria Math" w:hAnsi="Cambria Math"/>
                  </w:rPr>
                  <m:t>1</m:t>
                </m:r>
                <m:r>
                  <m:rPr>
                    <m:sty m:val="p"/>
                  </m:rPr>
                  <w:rPr>
                    <w:rFonts w:ascii="Cambria Math" w:hAnsi="Cambria Math"/>
                  </w:rPr>
                  <m:t>.</m:t>
                </m:r>
              </m:e>
            </m:mr>
          </m:m>
        </m:oMath>
      </m:oMathPara>
    </w:p>
    <w:p w14:paraId="542D2C39" w14:textId="77777777" w:rsidR="00AF76C0" w:rsidRDefault="00000000">
      <w:pPr>
        <w:pStyle w:val="Heading2"/>
      </w:pPr>
      <w:bookmarkStart w:id="74" w:name="appendixDiff"/>
      <w:bookmarkStart w:id="75" w:name="_Toc153208246"/>
      <w:bookmarkEnd w:id="72"/>
      <w:r>
        <w:rPr>
          <w:rStyle w:val="SectionNumber"/>
        </w:rPr>
        <w:t>8.5</w:t>
      </w:r>
      <w:r>
        <w:tab/>
        <w:t>Difference of two means</w:t>
      </w:r>
      <w:bookmarkEnd w:id="75"/>
    </w:p>
    <w:p w14:paraId="64065D79" w14:textId="77777777" w:rsidR="00AF76C0" w:rsidRDefault="00000000">
      <w:pPr>
        <w:pStyle w:val="FirstParagraph"/>
      </w:pPr>
      <w:r>
        <w:t xml:space="preserve">This sections refers to </w:t>
      </w:r>
      <m:oMath>
        <m:sSub>
          <m:sSubPr>
            <m:ctrlPr>
              <w:rPr>
                <w:rFonts w:ascii="Cambria Math" w:hAnsi="Cambria Math"/>
              </w:rPr>
            </m:ctrlPr>
          </m:sSubPr>
          <m:e>
            <m:r>
              <w:rPr>
                <w:rFonts w:ascii="Cambria Math" w:hAnsi="Cambria Math"/>
              </w:rPr>
              <m:t>μ</m:t>
            </m:r>
          </m:e>
          <m:sub>
            <m:r>
              <w:rPr>
                <w:rFonts w:ascii="Cambria Math" w:hAnsi="Cambria Math"/>
              </w:rPr>
              <m:t>A</m:t>
            </m:r>
          </m:sub>
        </m:sSub>
      </m:oMath>
      <w:r>
        <w:t xml:space="preserve">, </w:t>
      </w:r>
      <m:oMath>
        <m:sSub>
          <m:sSubPr>
            <m:ctrlPr>
              <w:rPr>
                <w:rFonts w:ascii="Cambria Math" w:hAnsi="Cambria Math"/>
              </w:rPr>
            </m:ctrlPr>
          </m:sSubPr>
          <m:e>
            <m:r>
              <w:rPr>
                <w:rFonts w:ascii="Cambria Math" w:hAnsi="Cambria Math"/>
              </w:rPr>
              <m:t>μ</m:t>
            </m:r>
          </m:e>
          <m:sub>
            <m:r>
              <w:rPr>
                <w:rFonts w:ascii="Cambria Math" w:hAnsi="Cambria Math"/>
              </w:rPr>
              <m:t>B</m:t>
            </m:r>
          </m:sub>
        </m:sSub>
      </m:oMath>
      <w:r>
        <w:t xml:space="preserve">, </w:t>
      </w:r>
      <m:oMath>
        <m:sSub>
          <m:sSubPr>
            <m:ctrlPr>
              <w:rPr>
                <w:rFonts w:ascii="Cambria Math" w:hAnsi="Cambria Math"/>
              </w:rPr>
            </m:ctrlPr>
          </m:sSubPr>
          <m:e>
            <m:r>
              <w:rPr>
                <w:rFonts w:ascii="Cambria Math" w:hAnsi="Cambria Math"/>
              </w:rPr>
              <m:t>ν</m:t>
            </m:r>
          </m:e>
          <m:sub>
            <m:r>
              <w:rPr>
                <w:rFonts w:ascii="Cambria Math" w:hAnsi="Cambria Math"/>
              </w:rPr>
              <m:t>A</m:t>
            </m:r>
          </m:sub>
        </m:sSub>
      </m:oMath>
      <w:r>
        <w:t xml:space="preserve"> and </w:t>
      </w:r>
      <m:oMath>
        <m:sSub>
          <m:sSubPr>
            <m:ctrlPr>
              <w:rPr>
                <w:rFonts w:ascii="Cambria Math" w:hAnsi="Cambria Math"/>
              </w:rPr>
            </m:ctrlPr>
          </m:sSubPr>
          <m:e>
            <m:r>
              <w:rPr>
                <w:rFonts w:ascii="Cambria Math" w:hAnsi="Cambria Math"/>
              </w:rPr>
              <m:t>ν</m:t>
            </m:r>
          </m:e>
          <m:sub>
            <m:r>
              <w:rPr>
                <w:rFonts w:ascii="Cambria Math" w:hAnsi="Cambria Math"/>
              </w:rPr>
              <m:t>B</m:t>
            </m:r>
          </m:sub>
        </m:sSub>
      </m:oMath>
      <w:r>
        <w:t xml:space="preserve"> in the bivariate model with a covariate.</w:t>
      </w:r>
    </w:p>
    <w:p w14:paraId="633CD1D5" w14:textId="77777777" w:rsidR="00AF76C0" w:rsidRDefault="00000000">
      <w:pPr>
        <w:pStyle w:val="BodyText"/>
      </w:pPr>
      <w:r>
        <w:t xml:space="preserve">In 9.4.6.3 example 1 the handbook gives parameter estimates for </w:t>
      </w:r>
      <m:oMath>
        <m:r>
          <w:rPr>
            <w:rFonts w:ascii="Cambria Math" w:hAnsi="Cambria Math"/>
          </w:rPr>
          <m:t>μ</m:t>
        </m:r>
      </m:oMath>
      <w:r>
        <w:t xml:space="preserve"> and </w:t>
      </w:r>
      <m:oMath>
        <m:r>
          <w:rPr>
            <w:rFonts w:ascii="Cambria Math" w:hAnsi="Cambria Math"/>
          </w:rPr>
          <m:t>ν</m:t>
        </m:r>
      </m:oMath>
      <w:r>
        <w:t xml:space="preserve"> (omitting the subscript </w:t>
      </w:r>
      <m:oMath>
        <m:r>
          <w:rPr>
            <w:rFonts w:ascii="Cambria Math" w:hAnsi="Cambria Math"/>
          </w:rPr>
          <m:t>A</m:t>
        </m:r>
      </m:oMath>
      <w:r>
        <w:t xml:space="preserve"> or </w:t>
      </w:r>
      <m:oMath>
        <m:r>
          <w:rPr>
            <w:rFonts w:ascii="Cambria Math" w:hAnsi="Cambria Math"/>
          </w:rPr>
          <m:t>B</m:t>
        </m:r>
      </m:oMath>
      <w:r>
        <w:t xml:space="preserve">), whereas MetaBayesDTA gives estimates for the mean logit sensitivity (and specificity) within the two subgroups, namely </w:t>
      </w:r>
      <m:oMath>
        <m:sSub>
          <m:sSubPr>
            <m:ctrlPr>
              <w:rPr>
                <w:rFonts w:ascii="Cambria Math" w:hAnsi="Cambria Math"/>
              </w:rPr>
            </m:ctrlPr>
          </m:sSubPr>
          <m:e>
            <m:r>
              <w:rPr>
                <w:rFonts w:ascii="Cambria Math" w:hAnsi="Cambria Math"/>
              </w:rPr>
              <m:t>μ</m:t>
            </m:r>
          </m:e>
          <m:sub>
            <m:r>
              <w:rPr>
                <w:rFonts w:ascii="Cambria Math" w:hAnsi="Cambria Math"/>
              </w:rPr>
              <m:t>1</m:t>
            </m:r>
          </m:sub>
        </m:sSub>
        <m:r>
          <m:rPr>
            <m:sty m:val="p"/>
          </m:rPr>
          <w:rPr>
            <w:rFonts w:ascii="Cambria Math" w:hAnsi="Cambria Math"/>
          </w:rPr>
          <m:t>=</m:t>
        </m:r>
        <m:r>
          <w:rPr>
            <w:rFonts w:ascii="Cambria Math" w:hAnsi="Cambria Math"/>
          </w:rPr>
          <m:t>μ</m:t>
        </m:r>
      </m:oMath>
      <w:r>
        <w:t xml:space="preserve"> for group 1 (CCP1) and </w:t>
      </w:r>
      <m:oMath>
        <m:sSub>
          <m:sSubPr>
            <m:ctrlPr>
              <w:rPr>
                <w:rFonts w:ascii="Cambria Math" w:hAnsi="Cambria Math"/>
              </w:rPr>
            </m:ctrlPr>
          </m:sSubPr>
          <m:e>
            <m:r>
              <w:rPr>
                <w:rFonts w:ascii="Cambria Math" w:hAnsi="Cambria Math"/>
              </w:rPr>
              <m:t>μ</m:t>
            </m:r>
          </m:e>
          <m:sub>
            <m:r>
              <w:rPr>
                <w:rFonts w:ascii="Cambria Math" w:hAnsi="Cambria Math"/>
              </w:rPr>
              <m:t>2</m:t>
            </m:r>
          </m:sub>
        </m:sSub>
        <m:r>
          <m:rPr>
            <m:sty m:val="p"/>
          </m:rPr>
          <w:rPr>
            <w:rFonts w:ascii="Cambria Math" w:hAnsi="Cambria Math"/>
          </w:rPr>
          <m:t>=</m:t>
        </m:r>
        <m:r>
          <w:rPr>
            <w:rFonts w:ascii="Cambria Math" w:hAnsi="Cambria Math"/>
          </w:rPr>
          <m:t>μ</m:t>
        </m:r>
        <m:r>
          <m:rPr>
            <m:sty m:val="p"/>
          </m:rPr>
          <w:rPr>
            <w:rFonts w:ascii="Cambria Math" w:hAnsi="Cambria Math"/>
          </w:rPr>
          <m:t>+</m:t>
        </m:r>
        <m:r>
          <w:rPr>
            <w:rFonts w:ascii="Cambria Math" w:hAnsi="Cambria Math"/>
          </w:rPr>
          <m:t>ν</m:t>
        </m:r>
      </m:oMath>
      <w:r>
        <w:t xml:space="preserve"> for group 2 (CCP2). This subsection describes how to obtain an estimate of the standard deviaton of </w:t>
      </w:r>
      <m:oMath>
        <m:r>
          <w:rPr>
            <w:rFonts w:ascii="Cambria Math" w:hAnsi="Cambria Math"/>
          </w:rPr>
          <m:t>μ</m:t>
        </m:r>
      </m:oMath>
      <w:r>
        <w:t xml:space="preserve">, and a point estimate, standard deviation and 95% posterior interval for </w:t>
      </w:r>
      <m:oMath>
        <m:r>
          <w:rPr>
            <w:rFonts w:ascii="Cambria Math" w:hAnsi="Cambria Math"/>
          </w:rPr>
          <m:t>ν</m:t>
        </m:r>
      </m:oMath>
      <w:r>
        <w:t>.</w:t>
      </w:r>
    </w:p>
    <w:p w14:paraId="2F4AC148" w14:textId="77777777" w:rsidR="00AF76C0" w:rsidRDefault="00000000">
      <w:pPr>
        <w:pStyle w:val="BodyText"/>
      </w:pPr>
      <w:r>
        <w:t xml:space="preserve">Let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be the number of trials in group </w:t>
      </w:r>
      <m:oMath>
        <m:r>
          <w:rPr>
            <w:rFonts w:ascii="Cambria Math" w:hAnsi="Cambria Math"/>
          </w:rPr>
          <m:t>i</m:t>
        </m:r>
      </m:oMath>
      <w:r>
        <w:t xml:space="preserve"> with total number of trials </w:t>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oMath>
      <w:r>
        <w:t xml:space="preserve">. The standard deviation of </w:t>
      </w:r>
      <m:oMath>
        <m:r>
          <w:rPr>
            <w:rFonts w:ascii="Cambria Math" w:hAnsi="Cambria Math"/>
          </w:rPr>
          <m:t>μ</m:t>
        </m:r>
      </m:oMath>
      <w:r>
        <w:t xml:space="preserve"> is estimated by</w:t>
      </w:r>
    </w:p>
    <w:p w14:paraId="61E5A605"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μ</m:t>
              </m:r>
            </m:e>
          </m:d>
          <m:r>
            <m:rPr>
              <m:sty m:val="p"/>
            </m:rPr>
            <w:rPr>
              <w:rFonts w:ascii="Cambria Math" w:hAnsi="Cambria Math"/>
            </w:rPr>
            <m:t>=</m:t>
          </m:r>
          <m:acc>
            <m:accPr>
              <m:ctrlPr>
                <w:rPr>
                  <w:rFonts w:ascii="Cambria Math" w:hAnsi="Cambria Math"/>
                </w:rPr>
              </m:ctrlPr>
            </m:accPr>
            <m:e>
              <m:r>
                <w:rPr>
                  <w:rFonts w:ascii="Cambria Math" w:hAnsi="Cambria Math"/>
                </w:rPr>
                <m:t>σ</m:t>
              </m:r>
            </m:e>
          </m:ac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w:rPr>
                      <w:rFonts w:ascii="Cambria Math" w:hAnsi="Cambria Math"/>
                    </w:rPr>
                    <m:t>1</m:t>
                  </m:r>
                </m:sub>
              </m:sSub>
            </m:e>
          </m:rad>
        </m:oMath>
      </m:oMathPara>
    </w:p>
    <w:p w14:paraId="421EF6DE" w14:textId="77777777" w:rsidR="00AF76C0" w:rsidRDefault="00000000">
      <w:pPr>
        <w:pStyle w:val="FirstParagraph"/>
      </w:pPr>
      <w:r>
        <w:t xml:space="preserve">A point estimate of </w:t>
      </w:r>
      <m:oMath>
        <m:r>
          <w:rPr>
            <w:rFonts w:ascii="Cambria Math" w:hAnsi="Cambria Math"/>
          </w:rPr>
          <m:t>ν</m:t>
        </m:r>
      </m:oMath>
      <w:r>
        <w:t xml:space="preserve"> is </w:t>
      </w:r>
      <m:oMath>
        <m:acc>
          <m:accPr>
            <m:ctrlPr>
              <w:rPr>
                <w:rFonts w:ascii="Cambria Math" w:hAnsi="Cambria Math"/>
              </w:rPr>
            </m:ctrlPr>
          </m:accPr>
          <m:e>
            <m:r>
              <w:rPr>
                <w:rFonts w:ascii="Cambria Math" w:hAnsi="Cambria Math"/>
              </w:rPr>
              <m:t>ν</m:t>
            </m:r>
          </m:e>
        </m:acc>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μ</m:t>
                </m:r>
              </m:e>
            </m:acc>
          </m:e>
          <m:sub>
            <m:r>
              <w:rPr>
                <w:rFonts w:ascii="Cambria Math" w:hAnsi="Cambria Math"/>
              </w:rPr>
              <m:t>2</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μ</m:t>
                </m:r>
              </m:e>
            </m:acc>
          </m:e>
          <m:sub>
            <m:r>
              <w:rPr>
                <w:rFonts w:ascii="Cambria Math" w:hAnsi="Cambria Math"/>
              </w:rPr>
              <m:t>1</m:t>
            </m:r>
          </m:sub>
        </m:sSub>
      </m:oMath>
      <w:r>
        <w:t>, and its standard deviation can be estimated by</w:t>
      </w:r>
    </w:p>
    <w:p w14:paraId="38F16F73"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ν</m:t>
              </m:r>
            </m:e>
          </m:d>
          <m:r>
            <m:rPr>
              <m:sty m:val="p"/>
            </m:rPr>
            <w:rPr>
              <w:rFonts w:ascii="Cambria Math" w:hAnsi="Cambria Math"/>
            </w:rPr>
            <m:t>=</m:t>
          </m:r>
          <m:acc>
            <m:accPr>
              <m:ctrlPr>
                <w:rPr>
                  <w:rFonts w:ascii="Cambria Math" w:hAnsi="Cambria Math"/>
                </w:rPr>
              </m:ctrlPr>
            </m:accPr>
            <m:e>
              <m:r>
                <w:rPr>
                  <w:rFonts w:ascii="Cambria Math" w:hAnsi="Cambria Math"/>
                </w:rPr>
                <m:t>σ</m:t>
              </m:r>
            </m:e>
          </m:acc>
          <m:rad>
            <m:radPr>
              <m:degHide m:val="1"/>
              <m:ctrlPr>
                <w:rPr>
                  <w:rFonts w:ascii="Cambria Math" w:hAnsi="Cambria Math"/>
                </w:rPr>
              </m:ctrlPr>
            </m:radPr>
            <m:deg/>
            <m:e>
              <m:r>
                <w:rPr>
                  <w:rFonts w:ascii="Cambria Math" w:hAnsi="Cambria Math"/>
                </w:rPr>
                <m:t>n</m:t>
              </m:r>
            </m:e>
          </m:rad>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w:rPr>
                      <w:rFonts w:ascii="Cambria Math" w:hAnsi="Cambria Math"/>
                    </w:rPr>
                    <m:t>1</m:t>
                  </m:r>
                </m:sub>
              </m:sSub>
              <m:sSub>
                <m:sSubPr>
                  <m:ctrlPr>
                    <w:rPr>
                      <w:rFonts w:ascii="Cambria Math" w:hAnsi="Cambria Math"/>
                    </w:rPr>
                  </m:ctrlPr>
                </m:sSubPr>
                <m:e>
                  <m:r>
                    <w:rPr>
                      <w:rFonts w:ascii="Cambria Math" w:hAnsi="Cambria Math"/>
                    </w:rPr>
                    <m:t>n</m:t>
                  </m:r>
                </m:e>
                <m:sub>
                  <m:r>
                    <w:rPr>
                      <w:rFonts w:ascii="Cambria Math" w:hAnsi="Cambria Math"/>
                    </w:rPr>
                    <m:t>2</m:t>
                  </m:r>
                </m:sub>
              </m:sSub>
            </m:e>
          </m:rad>
          <m:r>
            <m:rPr>
              <m:sty m:val="p"/>
            </m:rPr>
            <w:rPr>
              <w:rFonts w:ascii="Cambria Math" w:hAnsi="Cambria Math"/>
            </w:rPr>
            <m:t>.</m:t>
          </m:r>
        </m:oMath>
      </m:oMathPara>
    </w:p>
    <w:p w14:paraId="214D6F96" w14:textId="77777777" w:rsidR="00AF76C0" w:rsidRDefault="00000000">
      <w:pPr>
        <w:pStyle w:val="FirstParagraph"/>
      </w:pPr>
      <w:r>
        <w:t xml:space="preserve">The 95% posterior interval for </w:t>
      </w:r>
      <m:oMath>
        <m:r>
          <w:rPr>
            <w:rFonts w:ascii="Cambria Math" w:hAnsi="Cambria Math"/>
          </w:rPr>
          <m:t>ν</m:t>
        </m:r>
      </m:oMath>
      <w:r>
        <w:t xml:space="preserve"> is then</w:t>
      </w:r>
    </w:p>
    <w:p w14:paraId="32BE9B0B" w14:textId="77777777" w:rsidR="00AF76C0" w:rsidRDefault="00000000">
      <w:pPr>
        <w:pStyle w:val="BodyText"/>
      </w:pPr>
      <m:oMathPara>
        <m:oMathParaPr>
          <m:jc m:val="center"/>
        </m:oMathParaPr>
        <m:oMath>
          <m:acc>
            <m:accPr>
              <m:ctrlPr>
                <w:rPr>
                  <w:rFonts w:ascii="Cambria Math" w:hAnsi="Cambria Math"/>
                </w:rPr>
              </m:ctrlPr>
            </m:accPr>
            <m:e>
              <m:r>
                <w:rPr>
                  <w:rFonts w:ascii="Cambria Math" w:hAnsi="Cambria Math"/>
                </w:rPr>
                <m:t>ν</m:t>
              </m:r>
            </m:e>
          </m:acc>
          <m:r>
            <m:rPr>
              <m:sty m:val="p"/>
            </m:rPr>
            <w:rPr>
              <w:rFonts w:ascii="Cambria Math" w:hAnsi="Cambria Math"/>
            </w:rPr>
            <m:t>±</m:t>
          </m:r>
          <m:r>
            <w:rPr>
              <w:rFonts w:ascii="Cambria Math" w:hAnsi="Cambria Math"/>
            </w:rPr>
            <m:t>1.96SD</m:t>
          </m:r>
          <m:d>
            <m:dPr>
              <m:ctrlPr>
                <w:rPr>
                  <w:rFonts w:ascii="Cambria Math" w:hAnsi="Cambria Math"/>
                </w:rPr>
              </m:ctrlPr>
            </m:dPr>
            <m:e>
              <m:r>
                <w:rPr>
                  <w:rFonts w:ascii="Cambria Math" w:hAnsi="Cambria Math"/>
                </w:rPr>
                <m:t>ν</m:t>
              </m:r>
            </m:e>
          </m:d>
          <m:r>
            <m:rPr>
              <m:sty m:val="p"/>
            </m:rPr>
            <w:rPr>
              <w:rFonts w:ascii="Cambria Math" w:hAnsi="Cambria Math"/>
            </w:rPr>
            <m:t>.</m:t>
          </m:r>
        </m:oMath>
      </m:oMathPara>
    </w:p>
    <w:p w14:paraId="554ECEC2" w14:textId="77777777" w:rsidR="00AF76C0" w:rsidRDefault="00000000">
      <w:pPr>
        <w:pStyle w:val="FirstParagraph"/>
      </w:pPr>
      <w:r>
        <w:t xml:space="preserve">The derivation of these estimates is now given. Focusing on the marginal distribution of sensitivity or specificity, the model is described by </w:t>
      </w:r>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μ</m:t>
            </m:r>
            <m:r>
              <m:rPr>
                <m:sty m:val="p"/>
              </m:rPr>
              <w:rPr>
                <w:rFonts w:ascii="Cambria Math" w:hAnsi="Cambria Math"/>
              </w:rPr>
              <m:t>+</m:t>
            </m:r>
            <m:r>
              <w:rPr>
                <w:rFonts w:ascii="Cambria Math" w:hAnsi="Cambria Math"/>
              </w:rPr>
              <m:t>ν</m:t>
            </m:r>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e>
        </m:d>
      </m:oMath>
      <w:r>
        <w:t xml:space="preserve">, where </w:t>
      </w:r>
      <m:oMath>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r>
          <w:rPr>
            <w:rFonts w:ascii="Cambria Math" w:hAnsi="Cambria Math"/>
          </w:rPr>
          <m:t>0</m:t>
        </m:r>
      </m:oMath>
      <w:r>
        <w:t xml:space="preserve"> in group 1 and </w:t>
      </w:r>
      <m:oMath>
        <m:sSub>
          <m:sSubPr>
            <m:ctrlPr>
              <w:rPr>
                <w:rFonts w:ascii="Cambria Math" w:hAnsi="Cambria Math"/>
              </w:rPr>
            </m:ctrlPr>
          </m:sSubPr>
          <m:e>
            <m:r>
              <w:rPr>
                <w:rFonts w:ascii="Cambria Math" w:hAnsi="Cambria Math"/>
              </w:rPr>
              <m:t>Z</m:t>
            </m:r>
          </m:e>
          <m:sub>
            <m:r>
              <w:rPr>
                <w:rFonts w:ascii="Cambria Math" w:hAnsi="Cambria Math"/>
              </w:rPr>
              <m:t>i</m:t>
            </m:r>
          </m:sub>
        </m:sSub>
        <m:r>
          <m:rPr>
            <m:sty m:val="p"/>
          </m:rPr>
          <w:rPr>
            <w:rFonts w:ascii="Cambria Math" w:hAnsi="Cambria Math"/>
          </w:rPr>
          <m:t>=</m:t>
        </m:r>
        <m:r>
          <w:rPr>
            <w:rFonts w:ascii="Cambria Math" w:hAnsi="Cambria Math"/>
          </w:rPr>
          <m:t>1</m:t>
        </m:r>
      </m:oMath>
      <w:r>
        <w:t xml:space="preserve"> in group 2. Writing the model in its usual matrix form</w:t>
      </w:r>
    </w:p>
    <w:p w14:paraId="4B5ED98B" w14:textId="77777777" w:rsidR="00AF76C0" w:rsidRDefault="00000000">
      <w:pPr>
        <w:pStyle w:val="BodyText"/>
      </w:pPr>
      <m:oMathPara>
        <m:oMathParaPr>
          <m:jc m:val="center"/>
        </m:oMathParaPr>
        <m:oMath>
          <m:r>
            <w:rPr>
              <w:rFonts w:ascii="Cambria Math" w:hAnsi="Cambria Math"/>
            </w:rPr>
            <m:t>E</m:t>
          </m:r>
          <m:d>
            <m:dPr>
              <m:ctrlPr>
                <w:rPr>
                  <w:rFonts w:ascii="Cambria Math" w:hAnsi="Cambria Math"/>
                </w:rPr>
              </m:ctrlPr>
            </m:dPr>
            <m:e>
              <m:r>
                <w:rPr>
                  <w:rFonts w:ascii="Cambria Math" w:hAnsi="Cambria Math"/>
                </w:rPr>
                <m:t>Y</m:t>
              </m:r>
            </m:e>
          </m:d>
          <m:r>
            <m:rPr>
              <m:sty m:val="p"/>
            </m:rPr>
            <w:rPr>
              <w:rFonts w:ascii="Cambria Math" w:hAnsi="Cambria Math"/>
            </w:rPr>
            <m:t>=</m:t>
          </m:r>
          <m:r>
            <w:rPr>
              <w:rFonts w:ascii="Cambria Math" w:hAnsi="Cambria Math"/>
            </w:rPr>
            <m:t>Xβ </m:t>
          </m:r>
          <m:r>
            <m:rPr>
              <m:nor/>
            </m:rPr>
            <m:t>and</m:t>
          </m:r>
          <m:r>
            <w:rPr>
              <w:rFonts w:ascii="Cambria Math" w:hAnsi="Cambria Math"/>
            </w:rPr>
            <m:t> Var</m:t>
          </m:r>
          <m:d>
            <m:dPr>
              <m:ctrlPr>
                <w:rPr>
                  <w:rFonts w:ascii="Cambria Math" w:hAnsi="Cambria Math"/>
                </w:rPr>
              </m:ctrlPr>
            </m:dPr>
            <m:e>
              <m:r>
                <w:rPr>
                  <w:rFonts w:ascii="Cambria Math" w:hAnsi="Cambria Math"/>
                </w:rPr>
                <m:t>Y</m:t>
              </m:r>
            </m:e>
          </m:d>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m:t>
          </m:r>
        </m:oMath>
      </m:oMathPara>
    </w:p>
    <w:p w14:paraId="10CC8703" w14:textId="77777777" w:rsidR="00AF76C0" w:rsidRDefault="00000000">
      <w:pPr>
        <w:pStyle w:val="FirstParagraph"/>
      </w:pPr>
      <w:r>
        <w:t xml:space="preserve">where </w:t>
      </w:r>
      <m:oMath>
        <m:r>
          <w:rPr>
            <w:rFonts w:ascii="Cambria Math" w:hAnsi="Cambria Math"/>
          </w:rPr>
          <m:t>β</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μ</m:t>
                </m:r>
                <m:r>
                  <m:rPr>
                    <m:sty m:val="p"/>
                  </m:rPr>
                  <w:rPr>
                    <w:rFonts w:ascii="Cambria Math" w:hAnsi="Cambria Math"/>
                  </w:rPr>
                  <m:t>,</m:t>
                </m:r>
                <m:r>
                  <w:rPr>
                    <w:rFonts w:ascii="Cambria Math" w:hAnsi="Cambria Math"/>
                  </w:rPr>
                  <m:t>ν</m:t>
                </m:r>
              </m:e>
            </m:d>
          </m:e>
          <m:sup>
            <m:r>
              <w:rPr>
                <w:rFonts w:ascii="Cambria Math" w:hAnsi="Cambria Math"/>
              </w:rPr>
              <m:t>T</m:t>
            </m:r>
          </m:sup>
        </m:sSup>
      </m:oMath>
      <w:r>
        <w:t xml:space="preserve">, the parameter estimates (posterior medians) are approximately </w:t>
      </w:r>
      <m:oMath>
        <m:acc>
          <m:accPr>
            <m:ctrlPr>
              <w:rPr>
                <w:rFonts w:ascii="Cambria Math" w:hAnsi="Cambria Math"/>
              </w:rPr>
            </m:ctrlPr>
          </m:accPr>
          <m:e>
            <m:r>
              <w:rPr>
                <w:rFonts w:ascii="Cambria Math" w:hAnsi="Cambria Math"/>
              </w:rPr>
              <m:t>β</m:t>
            </m:r>
          </m:e>
        </m:acc>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X</m:t>
                </m:r>
              </m:e>
            </m:d>
          </m:e>
          <m:sup>
            <m:r>
              <m:rPr>
                <m:sty m:val="p"/>
              </m:rPr>
              <w:rPr>
                <w:rFonts w:ascii="Cambria Math" w:hAnsi="Cambria Math"/>
              </w:rPr>
              <m:t>-</m:t>
            </m:r>
            <m:r>
              <w:rPr>
                <w:rFonts w:ascii="Cambria Math" w:hAnsi="Cambria Math"/>
              </w:rPr>
              <m:t>1</m:t>
            </m:r>
          </m:sup>
        </m:sSup>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y</m:t>
        </m:r>
      </m:oMath>
      <w:r>
        <w:t xml:space="preserve"> with covariance matrix</w:t>
      </w:r>
    </w:p>
    <w:p w14:paraId="11642595" w14:textId="77777777" w:rsidR="00AF76C0" w:rsidRDefault="00000000">
      <w:pPr>
        <w:pStyle w:val="BodyText"/>
      </w:pPr>
      <m:oMathPara>
        <m:oMathParaPr>
          <m:jc m:val="center"/>
        </m:oMathParaPr>
        <m:oMath>
          <m:r>
            <w:rPr>
              <w:rFonts w:ascii="Cambria Math" w:hAnsi="Cambria Math"/>
            </w:rPr>
            <m:t>Var</m:t>
          </m:r>
          <m:d>
            <m:dPr>
              <m:ctrlPr>
                <w:rPr>
                  <w:rFonts w:ascii="Cambria Math" w:hAnsi="Cambria Math"/>
                </w:rPr>
              </m:ctrlPr>
            </m:dPr>
            <m:e>
              <m:r>
                <w:rPr>
                  <w:rFonts w:ascii="Cambria Math" w:hAnsi="Cambria Math"/>
                </w:rPr>
                <m:t>β</m:t>
              </m:r>
            </m:e>
          </m:d>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X</m:t>
                  </m:r>
                </m:e>
              </m:d>
            </m:e>
            <m:sup>
              <m:r>
                <m:rPr>
                  <m:sty m:val="p"/>
                </m:rPr>
                <w:rPr>
                  <w:rFonts w:ascii="Cambria Math" w:hAnsi="Cambria Math"/>
                </w:rPr>
                <m:t>-</m:t>
              </m:r>
              <m:r>
                <w:rPr>
                  <w:rFonts w:ascii="Cambria Math" w:hAnsi="Cambria Math"/>
                </w:rPr>
                <m:t>1</m:t>
              </m:r>
            </m:sup>
          </m:sSup>
          <m:r>
            <m:rPr>
              <m:sty m:val="p"/>
            </m:rPr>
            <w:rPr>
              <w:rFonts w:ascii="Cambria Math" w:hAnsi="Cambria Math"/>
            </w:rPr>
            <m:t>.</m:t>
          </m:r>
        </m:oMath>
      </m:oMathPara>
    </w:p>
    <w:p w14:paraId="4A026E0A" w14:textId="77777777" w:rsidR="00AF76C0" w:rsidRDefault="00000000">
      <w:pPr>
        <w:pStyle w:val="FirstParagraph"/>
      </w:pPr>
      <w:r>
        <w:t xml:space="preserve">The design matrix </w:t>
      </w:r>
      <m:oMath>
        <m:r>
          <w:rPr>
            <w:rFonts w:ascii="Cambria Math" w:hAnsi="Cambria Math"/>
          </w:rPr>
          <m:t>X</m:t>
        </m:r>
      </m:oMath>
      <w:r>
        <w:t xml:space="preserve"> is given by</w:t>
      </w:r>
    </w:p>
    <w:p w14:paraId="5A445637" w14:textId="77777777" w:rsidR="00AF76C0" w:rsidRDefault="00000000">
      <w:pPr>
        <w:pStyle w:val="BodyText"/>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T</m:t>
              </m:r>
            </m:sup>
          </m:sSup>
          <m:r>
            <m:rPr>
              <m:sty m:val="p"/>
            </m:rPr>
            <w:rPr>
              <w:rFonts w:ascii="Cambria Math" w:hAnsi="Cambria Math"/>
            </w:rPr>
            <m:t>=</m:t>
          </m:r>
          <m:d>
            <m:dPr>
              <m:ctrlPr>
                <w:rPr>
                  <w:rFonts w:ascii="Cambria Math" w:hAnsi="Cambria Math"/>
                </w:rPr>
              </m:ctrlPr>
            </m:dPr>
            <m:e>
              <m:m>
                <m:mPr>
                  <m:plcHide m:val="1"/>
                  <m:mcs>
                    <m:mc>
                      <m:mcPr>
                        <m:count m:val="6"/>
                        <m:mcJc m:val="center"/>
                      </m:mcPr>
                    </m:mc>
                  </m:mcs>
                  <m:ctrlPr>
                    <w:rPr>
                      <w:rFonts w:ascii="Cambria Math" w:hAnsi="Cambria Math"/>
                    </w:rPr>
                  </m:ctrlPr>
                </m:mPr>
                <m:mr>
                  <m:e>
                    <m:r>
                      <w:rPr>
                        <w:rFonts w:ascii="Cambria Math" w:hAnsi="Cambria Math"/>
                      </w:rPr>
                      <m:t>1</m:t>
                    </m:r>
                  </m:e>
                  <m:e>
                    <m:r>
                      <m:rPr>
                        <m:sty m:val="p"/>
                      </m:rPr>
                      <w:rPr>
                        <w:rFonts w:ascii="Cambria Math" w:hAnsi="Cambria Math"/>
                      </w:rPr>
                      <m:t>...</m:t>
                    </m:r>
                  </m:e>
                  <m:e>
                    <m:r>
                      <w:rPr>
                        <w:rFonts w:ascii="Cambria Math" w:hAnsi="Cambria Math"/>
                      </w:rPr>
                      <m:t>1</m:t>
                    </m:r>
                  </m:e>
                  <m:e>
                    <m:r>
                      <w:rPr>
                        <w:rFonts w:ascii="Cambria Math" w:hAnsi="Cambria Math"/>
                      </w:rPr>
                      <m:t>1</m:t>
                    </m:r>
                  </m:e>
                  <m:e>
                    <m:r>
                      <m:rPr>
                        <m:sty m:val="p"/>
                      </m:rPr>
                      <w:rPr>
                        <w:rFonts w:ascii="Cambria Math" w:hAnsi="Cambria Math"/>
                      </w:rPr>
                      <m:t>...</m:t>
                    </m:r>
                  </m:e>
                  <m:e>
                    <m:r>
                      <w:rPr>
                        <w:rFonts w:ascii="Cambria Math" w:hAnsi="Cambria Math"/>
                      </w:rPr>
                      <m:t>1</m:t>
                    </m:r>
                  </m:e>
                </m:mr>
                <m:mr>
                  <m:e>
                    <m:r>
                      <w:rPr>
                        <w:rFonts w:ascii="Cambria Math" w:hAnsi="Cambria Math"/>
                      </w:rPr>
                      <m:t>0</m:t>
                    </m:r>
                  </m:e>
                  <m:e>
                    <m:r>
                      <m:rPr>
                        <m:sty m:val="p"/>
                      </m:rPr>
                      <w:rPr>
                        <w:rFonts w:ascii="Cambria Math" w:hAnsi="Cambria Math"/>
                      </w:rPr>
                      <m:t>...</m:t>
                    </m:r>
                  </m:e>
                  <m:e>
                    <m:r>
                      <w:rPr>
                        <w:rFonts w:ascii="Cambria Math" w:hAnsi="Cambria Math"/>
                      </w:rPr>
                      <m:t>0</m:t>
                    </m:r>
                  </m:e>
                  <m:e>
                    <m:r>
                      <w:rPr>
                        <w:rFonts w:ascii="Cambria Math" w:hAnsi="Cambria Math"/>
                      </w:rPr>
                      <m:t>1</m:t>
                    </m:r>
                  </m:e>
                  <m:e>
                    <m:r>
                      <m:rPr>
                        <m:sty m:val="p"/>
                      </m:rPr>
                      <w:rPr>
                        <w:rFonts w:ascii="Cambria Math" w:hAnsi="Cambria Math"/>
                      </w:rPr>
                      <m:t>...</m:t>
                    </m:r>
                  </m:e>
                  <m:e>
                    <m:r>
                      <w:rPr>
                        <w:rFonts w:ascii="Cambria Math" w:hAnsi="Cambria Math"/>
                      </w:rPr>
                      <m:t>1</m:t>
                    </m:r>
                  </m:e>
                </m:mr>
              </m:m>
            </m:e>
          </m:d>
        </m:oMath>
      </m:oMathPara>
    </w:p>
    <w:p w14:paraId="0AAC5AFE" w14:textId="77777777" w:rsidR="00AF76C0" w:rsidRDefault="00000000">
      <w:pPr>
        <w:pStyle w:val="FirstParagraph"/>
      </w:pPr>
      <w:r>
        <w:t xml:space="preserve">where there are </w:t>
      </w:r>
      <m:oMath>
        <m:r>
          <w:rPr>
            <w:rFonts w:ascii="Cambria Math" w:hAnsi="Cambria Math"/>
          </w:rPr>
          <m:t>n</m:t>
        </m:r>
      </m:oMath>
      <w:r>
        <w:t xml:space="preserve"> </w:t>
      </w:r>
      <m:oMath>
        <m:r>
          <w:rPr>
            <w:rFonts w:ascii="Cambria Math" w:hAnsi="Cambria Math"/>
          </w:rPr>
          <m:t>1</m:t>
        </m:r>
      </m:oMath>
      <w:r>
        <w:t xml:space="preserve">s in the first row, and </w:t>
      </w:r>
      <m:oMath>
        <m:sSub>
          <m:sSubPr>
            <m:ctrlPr>
              <w:rPr>
                <w:rFonts w:ascii="Cambria Math" w:hAnsi="Cambria Math"/>
              </w:rPr>
            </m:ctrlPr>
          </m:sSubPr>
          <m:e>
            <m:r>
              <w:rPr>
                <w:rFonts w:ascii="Cambria Math" w:hAnsi="Cambria Math"/>
              </w:rPr>
              <m:t>n</m:t>
            </m:r>
          </m:e>
          <m:sub>
            <m:r>
              <w:rPr>
                <w:rFonts w:ascii="Cambria Math" w:hAnsi="Cambria Math"/>
              </w:rPr>
              <m:t>1</m:t>
            </m:r>
          </m:sub>
        </m:sSub>
      </m:oMath>
      <w:r>
        <w:t xml:space="preserve"> </w:t>
      </w:r>
      <m:oMath>
        <m:r>
          <w:rPr>
            <w:rFonts w:ascii="Cambria Math" w:hAnsi="Cambria Math"/>
          </w:rPr>
          <m:t>0</m:t>
        </m:r>
      </m:oMath>
      <w:r>
        <w:t xml:space="preserve">s and </w:t>
      </w:r>
      <m:oMath>
        <m:sSub>
          <m:sSubPr>
            <m:ctrlPr>
              <w:rPr>
                <w:rFonts w:ascii="Cambria Math" w:hAnsi="Cambria Math"/>
              </w:rPr>
            </m:ctrlPr>
          </m:sSubPr>
          <m:e>
            <m:r>
              <w:rPr>
                <w:rFonts w:ascii="Cambria Math" w:hAnsi="Cambria Math"/>
              </w:rPr>
              <m:t>n</m:t>
            </m:r>
          </m:e>
          <m:sub>
            <m:r>
              <w:rPr>
                <w:rFonts w:ascii="Cambria Math" w:hAnsi="Cambria Math"/>
              </w:rPr>
              <m:t>2</m:t>
            </m:r>
          </m:sub>
        </m:sSub>
      </m:oMath>
      <w:r>
        <w:t xml:space="preserve"> </w:t>
      </w:r>
      <m:oMath>
        <m:r>
          <w:rPr>
            <w:rFonts w:ascii="Cambria Math" w:hAnsi="Cambria Math"/>
          </w:rPr>
          <m:t>1</m:t>
        </m:r>
      </m:oMath>
      <w:r>
        <w:t>s in the second. Therefore</w:t>
      </w:r>
    </w:p>
    <w:p w14:paraId="112B820A" w14:textId="77777777" w:rsidR="00AF76C0" w:rsidRDefault="00000000">
      <w:pPr>
        <w:pStyle w:val="BodyText"/>
      </w:pPr>
      <m:oMathPara>
        <m:oMathParaPr>
          <m:jc m:val="center"/>
        </m:oMathParaPr>
        <m:oMath>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X</m:t>
          </m:r>
          <m:r>
            <m:rPr>
              <m:sty m:val="p"/>
            </m:rPr>
            <w:rPr>
              <w:rFonts w:ascii="Cambria Math" w:hAnsi="Cambria Math"/>
            </w:rPr>
            <m:t>=</m:t>
          </m:r>
          <m:d>
            <m:dPr>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n</m:t>
                    </m:r>
                  </m:e>
                  <m:e>
                    <m:sSub>
                      <m:sSubPr>
                        <m:ctrlPr>
                          <w:rPr>
                            <w:rFonts w:ascii="Cambria Math" w:hAnsi="Cambria Math"/>
                          </w:rPr>
                        </m:ctrlPr>
                      </m:sSubPr>
                      <m:e>
                        <m:r>
                          <w:rPr>
                            <w:rFonts w:ascii="Cambria Math" w:hAnsi="Cambria Math"/>
                          </w:rPr>
                          <m:t>n</m:t>
                        </m:r>
                      </m:e>
                      <m:sub>
                        <m:r>
                          <w:rPr>
                            <w:rFonts w:ascii="Cambria Math" w:hAnsi="Cambria Math"/>
                          </w:rPr>
                          <m:t>2</m:t>
                        </m:r>
                      </m:sub>
                    </m:sSub>
                  </m:e>
                </m:mr>
                <m:mr>
                  <m:e>
                    <m:sSub>
                      <m:sSubPr>
                        <m:ctrlPr>
                          <w:rPr>
                            <w:rFonts w:ascii="Cambria Math" w:hAnsi="Cambria Math"/>
                          </w:rPr>
                        </m:ctrlPr>
                      </m:sSubPr>
                      <m:e>
                        <m:r>
                          <w:rPr>
                            <w:rFonts w:ascii="Cambria Math" w:hAnsi="Cambria Math"/>
                          </w:rPr>
                          <m:t>n</m:t>
                        </m:r>
                      </m:e>
                      <m:sub>
                        <m:r>
                          <w:rPr>
                            <w:rFonts w:ascii="Cambria Math" w:hAnsi="Cambria Math"/>
                          </w:rPr>
                          <m:t>2</m:t>
                        </m:r>
                      </m:sub>
                    </m:sSub>
                  </m:e>
                  <m:e>
                    <m:sSub>
                      <m:sSubPr>
                        <m:ctrlPr>
                          <w:rPr>
                            <w:rFonts w:ascii="Cambria Math" w:hAnsi="Cambria Math"/>
                          </w:rPr>
                        </m:ctrlPr>
                      </m:sSubPr>
                      <m:e>
                        <m:r>
                          <w:rPr>
                            <w:rFonts w:ascii="Cambria Math" w:hAnsi="Cambria Math"/>
                          </w:rPr>
                          <m:t>n</m:t>
                        </m:r>
                      </m:e>
                      <m:sub>
                        <m:r>
                          <w:rPr>
                            <w:rFonts w:ascii="Cambria Math" w:hAnsi="Cambria Math"/>
                          </w:rPr>
                          <m:t>2</m:t>
                        </m:r>
                      </m:sub>
                    </m:sSub>
                  </m:e>
                </m:mr>
              </m:m>
            </m:e>
          </m:d>
        </m:oMath>
      </m:oMathPara>
    </w:p>
    <w:p w14:paraId="4D288336" w14:textId="77777777" w:rsidR="00AF76C0" w:rsidRDefault="00000000">
      <w:pPr>
        <w:pStyle w:val="FirstParagraph"/>
      </w:pPr>
      <w:r>
        <w:t>and</w:t>
      </w:r>
    </w:p>
    <w:p w14:paraId="263E96B2" w14:textId="77777777" w:rsidR="00AF76C0" w:rsidRDefault="00000000">
      <w:pPr>
        <w:pStyle w:val="BodyText"/>
      </w:pPr>
      <m:oMathPara>
        <m:oMathParaPr>
          <m:jc m:val="center"/>
        </m:oMathPara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X</m:t>
                  </m:r>
                </m:e>
              </m:d>
            </m:e>
            <m:sup>
              <m:r>
                <m:rPr>
                  <m:sty m:val="p"/>
                </m:rPr>
                <w:rPr>
                  <w:rFonts w:ascii="Cambria Math" w:hAnsi="Cambria Math"/>
                </w:rPr>
                <m:t>-</m:t>
              </m:r>
              <m:r>
                <w:rPr>
                  <w:rFonts w:ascii="Cambria Math" w:hAnsi="Cambria Math"/>
                </w:rPr>
                <m:t>1</m:t>
              </m:r>
            </m:sup>
          </m:sSup>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1</m:t>
                  </m:r>
                </m:sub>
              </m:sSub>
              <m:sSub>
                <m:sSubPr>
                  <m:ctrlPr>
                    <w:rPr>
                      <w:rFonts w:ascii="Cambria Math" w:hAnsi="Cambria Math"/>
                    </w:rPr>
                  </m:ctrlPr>
                </m:sSubPr>
                <m:e>
                  <m:r>
                    <w:rPr>
                      <w:rFonts w:ascii="Cambria Math" w:hAnsi="Cambria Math"/>
                    </w:rPr>
                    <m:t>n</m:t>
                  </m:r>
                </m:e>
                <m:sub>
                  <m:r>
                    <w:rPr>
                      <w:rFonts w:ascii="Cambria Math" w:hAnsi="Cambria Math"/>
                    </w:rPr>
                    <m:t>2</m:t>
                  </m:r>
                </m:sub>
              </m:sSub>
            </m:den>
          </m:f>
          <m:d>
            <m:dPr>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n</m:t>
                        </m:r>
                      </m:e>
                      <m:sub>
                        <m:r>
                          <w:rPr>
                            <w:rFonts w:ascii="Cambria Math" w:hAnsi="Cambria Math"/>
                          </w:rPr>
                          <m:t>2</m:t>
                        </m:r>
                      </m:sub>
                    </m:sSub>
                  </m:e>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e>
                </m:mr>
                <m:m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e>
                  <m:e>
                    <m:r>
                      <w:rPr>
                        <w:rFonts w:ascii="Cambria Math" w:hAnsi="Cambria Math"/>
                      </w:rPr>
                      <m:t>n</m:t>
                    </m:r>
                  </m:e>
                </m:mr>
              </m:m>
            </m:e>
          </m:d>
          <m:r>
            <m:rPr>
              <m:sty m:val="p"/>
            </m:rPr>
            <w:rPr>
              <w:rFonts w:ascii="Cambria Math" w:hAnsi="Cambria Math"/>
            </w:rPr>
            <m:t>.</m:t>
          </m:r>
        </m:oMath>
      </m:oMathPara>
    </w:p>
    <w:p w14:paraId="4A27E99B" w14:textId="77777777" w:rsidR="00AF76C0" w:rsidRDefault="00000000">
      <w:pPr>
        <w:pStyle w:val="FirstParagraph"/>
      </w:pPr>
      <w:r>
        <w:t>Thus</w:t>
      </w:r>
    </w:p>
    <w:p w14:paraId="7839A8F6" w14:textId="77777777" w:rsidR="00AF76C0" w:rsidRDefault="00000000">
      <w:pPr>
        <w:pStyle w:val="BodyText"/>
      </w:pPr>
      <m:oMathPara>
        <m:oMathParaPr>
          <m:jc m:val="center"/>
        </m:oMathParaPr>
        <m:oMath>
          <m:r>
            <w:rPr>
              <w:rFonts w:ascii="Cambria Math" w:hAnsi="Cambria Math"/>
            </w:rPr>
            <m:t>Var</m:t>
          </m:r>
          <m:d>
            <m:dPr>
              <m:ctrlPr>
                <w:rPr>
                  <w:rFonts w:ascii="Cambria Math" w:hAnsi="Cambria Math"/>
                </w:rPr>
              </m:ctrlPr>
            </m:dPr>
            <m:e>
              <m:r>
                <w:rPr>
                  <w:rFonts w:ascii="Cambria Math" w:hAnsi="Cambria Math"/>
                </w:rPr>
                <m:t>β</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σ</m:t>
                  </m:r>
                </m:e>
                <m:sup>
                  <m:r>
                    <w:rPr>
                      <w:rFonts w:ascii="Cambria Math" w:hAnsi="Cambria Math"/>
                    </w:rPr>
                    <m:t>2</m:t>
                  </m:r>
                </m:sup>
              </m:sSup>
            </m:num>
            <m:den>
              <m:sSub>
                <m:sSubPr>
                  <m:ctrlPr>
                    <w:rPr>
                      <w:rFonts w:ascii="Cambria Math" w:hAnsi="Cambria Math"/>
                    </w:rPr>
                  </m:ctrlPr>
                </m:sSubPr>
                <m:e>
                  <m:r>
                    <w:rPr>
                      <w:rFonts w:ascii="Cambria Math" w:hAnsi="Cambria Math"/>
                    </w:rPr>
                    <m:t>n</m:t>
                  </m:r>
                </m:e>
                <m:sub>
                  <m:r>
                    <w:rPr>
                      <w:rFonts w:ascii="Cambria Math" w:hAnsi="Cambria Math"/>
                    </w:rPr>
                    <m:t>1</m:t>
                  </m:r>
                </m:sub>
              </m:sSub>
              <m:sSub>
                <m:sSubPr>
                  <m:ctrlPr>
                    <w:rPr>
                      <w:rFonts w:ascii="Cambria Math" w:hAnsi="Cambria Math"/>
                    </w:rPr>
                  </m:ctrlPr>
                </m:sSubPr>
                <m:e>
                  <m:r>
                    <w:rPr>
                      <w:rFonts w:ascii="Cambria Math" w:hAnsi="Cambria Math"/>
                    </w:rPr>
                    <m:t>n</m:t>
                  </m:r>
                </m:e>
                <m:sub>
                  <m:r>
                    <w:rPr>
                      <w:rFonts w:ascii="Cambria Math" w:hAnsi="Cambria Math"/>
                    </w:rPr>
                    <m:t>2</m:t>
                  </m:r>
                </m:sub>
              </m:sSub>
            </m:den>
          </m:f>
          <m:d>
            <m:dPr>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n</m:t>
                        </m:r>
                      </m:e>
                      <m:sub>
                        <m:r>
                          <w:rPr>
                            <w:rFonts w:ascii="Cambria Math" w:hAnsi="Cambria Math"/>
                          </w:rPr>
                          <m:t>2</m:t>
                        </m:r>
                      </m:sub>
                    </m:sSub>
                  </m:e>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e>
                </m:mr>
                <m:m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e>
                  <m:e>
                    <m:r>
                      <w:rPr>
                        <w:rFonts w:ascii="Cambria Math" w:hAnsi="Cambria Math"/>
                      </w:rPr>
                      <m:t>n</m:t>
                    </m:r>
                  </m:e>
                </m:mr>
              </m:m>
            </m:e>
          </m:d>
        </m:oMath>
      </m:oMathPara>
    </w:p>
    <w:p w14:paraId="5713D469" w14:textId="77777777" w:rsidR="00AF76C0" w:rsidRDefault="00000000">
      <w:pPr>
        <w:pStyle w:val="FirstParagraph"/>
      </w:pPr>
      <w:r>
        <w:t>and it follows that</w:t>
      </w:r>
    </w:p>
    <w:p w14:paraId="2EC8A154"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μ</m:t>
              </m:r>
            </m:e>
          </m:d>
          <m:r>
            <m:rPr>
              <m:sty m:val="p"/>
            </m:rPr>
            <w:rPr>
              <w:rFonts w:ascii="Cambria Math" w:hAnsi="Cambria Math"/>
            </w:rPr>
            <m:t>=</m:t>
          </m:r>
          <m:r>
            <w:rPr>
              <w:rFonts w:ascii="Cambria Math" w:hAnsi="Cambria Math"/>
            </w:rPr>
            <m:t>σ</m:t>
          </m:r>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w:rPr>
                      <w:rFonts w:ascii="Cambria Math" w:hAnsi="Cambria Math"/>
                    </w:rPr>
                    <m:t>1</m:t>
                  </m:r>
                </m:sub>
              </m:sSub>
            </m:e>
          </m:rad>
        </m:oMath>
      </m:oMathPara>
    </w:p>
    <w:p w14:paraId="61E1DD8B" w14:textId="77777777" w:rsidR="00AF76C0" w:rsidRDefault="00000000">
      <w:pPr>
        <w:pStyle w:val="FirstParagraph"/>
      </w:pPr>
      <w:r>
        <w:t>and</w:t>
      </w:r>
    </w:p>
    <w:p w14:paraId="30FD0905" w14:textId="77777777" w:rsidR="00AF76C0" w:rsidRDefault="00000000">
      <w:pPr>
        <w:pStyle w:val="BodyText"/>
      </w:pPr>
      <m:oMathPara>
        <m:oMathParaPr>
          <m:jc m:val="center"/>
        </m:oMathParaPr>
        <m:oMath>
          <m:r>
            <w:rPr>
              <w:rFonts w:ascii="Cambria Math" w:hAnsi="Cambria Math"/>
            </w:rPr>
            <m:t>SD</m:t>
          </m:r>
          <m:d>
            <m:dPr>
              <m:ctrlPr>
                <w:rPr>
                  <w:rFonts w:ascii="Cambria Math" w:hAnsi="Cambria Math"/>
                </w:rPr>
              </m:ctrlPr>
            </m:dPr>
            <m:e>
              <m:r>
                <w:rPr>
                  <w:rFonts w:ascii="Cambria Math" w:hAnsi="Cambria Math"/>
                </w:rPr>
                <m:t>ν</m:t>
              </m:r>
            </m:e>
          </m:d>
          <m:r>
            <m:rPr>
              <m:sty m:val="p"/>
            </m:rPr>
            <w:rPr>
              <w:rFonts w:ascii="Cambria Math" w:hAnsi="Cambria Math"/>
            </w:rPr>
            <m:t>=</m:t>
          </m:r>
          <m:r>
            <w:rPr>
              <w:rFonts w:ascii="Cambria Math" w:hAnsi="Cambria Math"/>
            </w:rPr>
            <m:t>σ</m:t>
          </m:r>
          <m:rad>
            <m:radPr>
              <m:degHide m:val="1"/>
              <m:ctrlPr>
                <w:rPr>
                  <w:rFonts w:ascii="Cambria Math" w:hAnsi="Cambria Math"/>
                </w:rPr>
              </m:ctrlPr>
            </m:radPr>
            <m:deg/>
            <m:e>
              <m:r>
                <w:rPr>
                  <w:rFonts w:ascii="Cambria Math" w:hAnsi="Cambria Math"/>
                </w:rPr>
                <m:t>n</m:t>
              </m:r>
            </m:e>
          </m:rad>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n</m:t>
                  </m:r>
                </m:e>
                <m:sub>
                  <m:r>
                    <w:rPr>
                      <w:rFonts w:ascii="Cambria Math" w:hAnsi="Cambria Math"/>
                    </w:rPr>
                    <m:t>1</m:t>
                  </m:r>
                </m:sub>
              </m:sSub>
              <m:sSub>
                <m:sSubPr>
                  <m:ctrlPr>
                    <w:rPr>
                      <w:rFonts w:ascii="Cambria Math" w:hAnsi="Cambria Math"/>
                    </w:rPr>
                  </m:ctrlPr>
                </m:sSubPr>
                <m:e>
                  <m:r>
                    <w:rPr>
                      <w:rFonts w:ascii="Cambria Math" w:hAnsi="Cambria Math"/>
                    </w:rPr>
                    <m:t>n</m:t>
                  </m:r>
                </m:e>
                <m:sub>
                  <m:r>
                    <w:rPr>
                      <w:rFonts w:ascii="Cambria Math" w:hAnsi="Cambria Math"/>
                    </w:rPr>
                    <m:t>2</m:t>
                  </m:r>
                </m:sub>
              </m:sSub>
            </m:e>
          </m:rad>
          <m:r>
            <m:rPr>
              <m:sty m:val="p"/>
            </m:rPr>
            <w:rPr>
              <w:rFonts w:ascii="Cambria Math" w:hAnsi="Cambria Math"/>
            </w:rPr>
            <m:t>.</m:t>
          </m:r>
        </m:oMath>
      </m:oMathPara>
    </w:p>
    <w:bookmarkEnd w:id="64"/>
    <w:bookmarkEnd w:id="74"/>
    <w:p w14:paraId="764FD164" w14:textId="77777777" w:rsidR="00AF76C0" w:rsidRDefault="00AF76C0">
      <w:pPr>
        <w:pStyle w:val="FirstParagraph"/>
      </w:pPr>
    </w:p>
    <w:sectPr w:rsidR="00AF76C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02211" w14:textId="77777777" w:rsidR="007668D0" w:rsidRDefault="007668D0">
      <w:pPr>
        <w:spacing w:after="0"/>
      </w:pPr>
      <w:r>
        <w:separator/>
      </w:r>
    </w:p>
  </w:endnote>
  <w:endnote w:type="continuationSeparator" w:id="0">
    <w:p w14:paraId="603BFF72" w14:textId="77777777" w:rsidR="007668D0" w:rsidRDefault="007668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309E4" w14:textId="77777777" w:rsidR="007668D0" w:rsidRDefault="007668D0">
      <w:r>
        <w:separator/>
      </w:r>
    </w:p>
  </w:footnote>
  <w:footnote w:type="continuationSeparator" w:id="0">
    <w:p w14:paraId="77D98F37" w14:textId="77777777" w:rsidR="007668D0" w:rsidRDefault="00766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F4589B2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854421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76C0"/>
    <w:rsid w:val="001E02BC"/>
    <w:rsid w:val="007668D0"/>
    <w:rsid w:val="00AF76C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424052"/>
  <w15:docId w15:val="{35F7B64D-DC35-2D47-A4EF-D535FA5D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OC1">
    <w:name w:val="toc 1"/>
    <w:basedOn w:val="Normal"/>
    <w:next w:val="Normal"/>
    <w:autoRedefine/>
    <w:uiPriority w:val="39"/>
    <w:rsid w:val="001E02BC"/>
    <w:pPr>
      <w:spacing w:after="100"/>
    </w:pPr>
  </w:style>
  <w:style w:type="paragraph" w:styleId="TOC2">
    <w:name w:val="toc 2"/>
    <w:basedOn w:val="Normal"/>
    <w:next w:val="Normal"/>
    <w:autoRedefine/>
    <w:uiPriority w:val="39"/>
    <w:rsid w:val="001E02BC"/>
    <w:pPr>
      <w:spacing w:after="100"/>
      <w:ind w:left="240"/>
    </w:pPr>
  </w:style>
  <w:style w:type="paragraph" w:styleId="TOC3">
    <w:name w:val="toc 3"/>
    <w:basedOn w:val="Normal"/>
    <w:next w:val="Normal"/>
    <w:autoRedefine/>
    <w:uiPriority w:val="39"/>
    <w:rsid w:val="001E02B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hyperlink" Target="mailto:tm428@leicester.ac.uk"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training.cochrane.org/handbook-diagnostic-test-accuracy/curren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apps@crsu.org.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yperlink" Target="https:/crsu.shinyapps.io/MetaBayesDTA/"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tm428@leicester.ac.uk"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39</Pages>
  <Words>4592</Words>
  <Characters>26179</Characters>
  <Application>Microsoft Office Word</Application>
  <DocSecurity>0</DocSecurity>
  <Lines>218</Lines>
  <Paragraphs>61</Paragraphs>
  <ScaleCrop>false</ScaleCrop>
  <Company/>
  <LinksUpToDate>false</LinksUpToDate>
  <CharactersWithSpaces>30710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Reproducing analyses from the Cochrane DTA handbook in MetaBayesDTA v1.0</dc:title>
  <dc:creator>Tom Morris (tm428@leicester.ac.uk)</dc:creator>
  <cp:keywords/>
  <cp:lastModifiedBy>Ryan Field (PGR)</cp:lastModifiedBy>
  <cp:revision>2</cp:revision>
  <dcterms:created xsi:type="dcterms:W3CDTF">2023-12-11T17:16:00Z</dcterms:created>
  <dcterms:modified xsi:type="dcterms:W3CDTF">2023-12-11T17:29:00Z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October 2023</vt:lpwstr>
  </property>
  <property fmtid="{D5CDD505-2E9C-101B-9397-08002B2CF9AE}" pid="3" name="editor_options">
    <vt:lpwstr/>
  </property>
  <property fmtid="{D5CDD505-2E9C-101B-9397-08002B2CF9AE}" pid="4" name="output">
    <vt:lpwstr/>
  </property>
</Properties>
</file>